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sz w:val="76"/>
          <w:szCs w:val="72"/>
          <w:lang w:val="en-GB" w:eastAsia="en-US"/>
        </w:rPr>
        <w:id w:val="-553541780"/>
        <w:docPartObj>
          <w:docPartGallery w:val="Cover Pages"/>
          <w:docPartUnique/>
        </w:docPartObj>
      </w:sdtPr>
      <w:sdtEndPr>
        <w:rPr>
          <w:rFonts w:asciiTheme="minorHAnsi" w:eastAsiaTheme="minorHAnsi" w:hAnsiTheme="minorHAnsi"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8472"/>
            <w:gridCol w:w="3138"/>
            <w:gridCol w:w="2348"/>
          </w:tblGrid>
          <w:tr w:rsidR="00023C4C" w14:paraId="43C78568" w14:textId="77777777">
            <w:tc>
              <w:tcPr>
                <w:tcW w:w="3525" w:type="dxa"/>
                <w:tcBorders>
                  <w:bottom w:val="single" w:sz="18" w:space="0" w:color="808080" w:themeColor="background1" w:themeShade="80"/>
                  <w:right w:val="single" w:sz="18" w:space="0" w:color="808080" w:themeColor="background1" w:themeShade="80"/>
                </w:tcBorders>
                <w:vAlign w:val="center"/>
              </w:tcPr>
              <w:p w14:paraId="31FC3C16" w14:textId="77777777" w:rsidR="00023C4C" w:rsidRDefault="00023C4C" w:rsidP="00023C4C">
                <w:pPr>
                  <w:pStyle w:val="NoSpacing"/>
                  <w:rPr>
                    <w:rFonts w:asciiTheme="majorHAnsi" w:eastAsiaTheme="majorEastAsia" w:hAnsiTheme="majorHAnsi" w:cstheme="majorBidi"/>
                    <w:sz w:val="76"/>
                    <w:szCs w:val="72"/>
                  </w:rPr>
                </w:pPr>
                <w:r>
                  <w:rPr>
                    <w:rFonts w:asciiTheme="majorHAnsi" w:eastAsiaTheme="majorEastAsia" w:hAnsiTheme="majorHAnsi" w:cstheme="majorBidi"/>
                    <w:noProof/>
                    <w:sz w:val="76"/>
                    <w:szCs w:val="72"/>
                    <w:lang w:val="en-GB" w:eastAsia="en-GB"/>
                  </w:rPr>
                  <w:drawing>
                    <wp:inline distT="0" distB="0" distL="0" distR="0" wp14:anchorId="1B0C49B6" wp14:editId="41749213">
                      <wp:extent cx="509587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SS logo.jpg"/>
                              <pic:cNvPicPr/>
                            </pic:nvPicPr>
                            <pic:blipFill>
                              <a:blip r:embed="rId12">
                                <a:extLst>
                                  <a:ext uri="{28A0092B-C50C-407E-A947-70E740481C1C}">
                                    <a14:useLocalDpi xmlns:a14="http://schemas.microsoft.com/office/drawing/2010/main" val="0"/>
                                  </a:ext>
                                </a:extLst>
                              </a:blip>
                              <a:stretch>
                                <a:fillRect/>
                              </a:stretch>
                            </pic:blipFill>
                            <pic:spPr>
                              <a:xfrm>
                                <a:off x="0" y="0"/>
                                <a:ext cx="5095875" cy="1914525"/>
                              </a:xfrm>
                              <a:prstGeom prst="rect">
                                <a:avLst/>
                              </a:prstGeom>
                            </pic:spPr>
                          </pic:pic>
                        </a:graphicData>
                      </a:graphic>
                    </wp:inline>
                  </w:drawing>
                </w:r>
              </w:p>
            </w:tc>
            <w:tc>
              <w:tcPr>
                <w:tcW w:w="6267" w:type="dxa"/>
                <w:gridSpan w:val="2"/>
                <w:tcBorders>
                  <w:left w:val="single" w:sz="18" w:space="0" w:color="808080" w:themeColor="background1" w:themeShade="80"/>
                  <w:bottom w:val="single" w:sz="18" w:space="0" w:color="808080" w:themeColor="background1" w:themeShade="80"/>
                </w:tcBorders>
                <w:vAlign w:val="center"/>
              </w:tcPr>
              <w:p w14:paraId="3499EB77" w14:textId="77777777" w:rsidR="00023C4C" w:rsidRDefault="00023C4C">
                <w:pPr>
                  <w:pStyle w:val="NoSpacing"/>
                  <w:rPr>
                    <w:rFonts w:asciiTheme="majorHAnsi" w:eastAsiaTheme="majorEastAsia" w:hAnsiTheme="majorHAnsi" w:cstheme="majorBidi"/>
                    <w:sz w:val="36"/>
                    <w:szCs w:val="36"/>
                  </w:rPr>
                </w:pPr>
              </w:p>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p w14:paraId="0FEAF50C" w14:textId="77777777" w:rsidR="00023C4C" w:rsidRDefault="00023C4C">
                    <w:pPr>
                      <w:pStyle w:val="NoSpacing"/>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2016</w:t>
                    </w:r>
                  </w:p>
                </w:sdtContent>
              </w:sdt>
            </w:tc>
          </w:tr>
          <w:tr w:rsidR="00023C4C" w14:paraId="074B0C27" w14:textId="77777777">
            <w:sdt>
              <w:sdt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14:paraId="5855BB86" w14:textId="77777777" w:rsidR="00023C4C" w:rsidRDefault="00023C4C" w:rsidP="00023C4C">
                    <w:pPr>
                      <w:pStyle w:val="NoSpacing"/>
                    </w:pPr>
                    <w:r>
                      <w:t>Update of the Voluntary and Community Sector Strategy which was adopted in Kingston in 2014 by all political parties, the Clinical Commissioning Group and the Voluntary Sector.</w:t>
                    </w:r>
                  </w:p>
                </w:tc>
              </w:sdtContent>
            </w:sdt>
            <w:tc>
              <w:tcPr>
                <w:tcW w:w="2738" w:type="dxa"/>
                <w:tcBorders>
                  <w:top w:val="single" w:sz="18" w:space="0" w:color="808080" w:themeColor="background1" w:themeShade="80"/>
                </w:tcBorders>
                <w:vAlign w:val="center"/>
              </w:tcPr>
              <w:p w14:paraId="6C07EE3A" w14:textId="77777777" w:rsidR="00023C4C" w:rsidRDefault="00023C4C" w:rsidP="00023C4C">
                <w:pPr>
                  <w:pStyle w:val="NoSpacing"/>
                  <w:rPr>
                    <w:rFonts w:asciiTheme="majorHAnsi" w:eastAsiaTheme="majorEastAsia" w:hAnsiTheme="majorHAnsi" w:cstheme="majorBidi"/>
                    <w:sz w:val="36"/>
                    <w:szCs w:val="36"/>
                  </w:rPr>
                </w:pPr>
              </w:p>
            </w:tc>
          </w:tr>
        </w:tbl>
        <w:p w14:paraId="651DE8FE" w14:textId="77777777" w:rsidR="00023C4C" w:rsidRDefault="00023C4C"/>
        <w:p w14:paraId="47803449" w14:textId="77777777" w:rsidR="00023C4C" w:rsidRDefault="00023C4C">
          <w:r>
            <w:br w:type="page"/>
          </w:r>
        </w:p>
      </w:sdtContent>
    </w:sdt>
    <w:p w14:paraId="1C62B076" w14:textId="77777777" w:rsidR="00F329A9" w:rsidRPr="00E74774" w:rsidRDefault="3410510C" w:rsidP="00FC7C98">
      <w:pPr>
        <w:spacing w:after="0" w:line="240" w:lineRule="auto"/>
        <w:rPr>
          <w:b/>
          <w:color w:val="FF33CC"/>
          <w:sz w:val="28"/>
          <w:szCs w:val="28"/>
        </w:rPr>
      </w:pPr>
      <w:r w:rsidRPr="00E74774">
        <w:rPr>
          <w:b/>
          <w:bCs/>
          <w:color w:val="FF33CC"/>
          <w:sz w:val="28"/>
          <w:szCs w:val="28"/>
        </w:rPr>
        <w:lastRenderedPageBreak/>
        <w:t xml:space="preserve">Foreword </w:t>
      </w:r>
    </w:p>
    <w:p w14:paraId="11184D7A" w14:textId="77777777" w:rsidR="00FC7C98" w:rsidRPr="00C06396" w:rsidRDefault="00FC7C98" w:rsidP="00FC7C98">
      <w:pPr>
        <w:spacing w:after="0" w:line="240" w:lineRule="auto"/>
        <w:rPr>
          <w:b/>
        </w:rPr>
      </w:pPr>
    </w:p>
    <w:p w14:paraId="6C60F40B" w14:textId="77777777" w:rsidR="00FC7C98" w:rsidRDefault="00FC7C98" w:rsidP="00FC7C98">
      <w:pPr>
        <w:spacing w:after="0" w:line="240" w:lineRule="auto"/>
      </w:pPr>
      <w:r>
        <w:t xml:space="preserve">Kingston has a long tradition of working with its </w:t>
      </w:r>
      <w:r w:rsidR="003E2D15">
        <w:t>residents</w:t>
      </w:r>
      <w:r>
        <w:t xml:space="preserve"> and with </w:t>
      </w:r>
      <w:r w:rsidR="003E2D15">
        <w:t xml:space="preserve">the </w:t>
      </w:r>
      <w:r>
        <w:t xml:space="preserve">Voluntary and Community </w:t>
      </w:r>
      <w:r w:rsidR="003E2D15">
        <w:t>Sector (VCS)</w:t>
      </w:r>
      <w:r>
        <w:t xml:space="preserve"> to improve the quality of life for everyone who lives, works, studies or does business in the borough.</w:t>
      </w:r>
    </w:p>
    <w:p w14:paraId="5E7F4913" w14:textId="77777777" w:rsidR="00FC7C98" w:rsidRDefault="00FC7C98" w:rsidP="00FC7C98">
      <w:pPr>
        <w:spacing w:after="0" w:line="240" w:lineRule="auto"/>
      </w:pPr>
    </w:p>
    <w:p w14:paraId="54233A23" w14:textId="77777777" w:rsidR="00FC7C98" w:rsidRDefault="00FC7C98" w:rsidP="00FC7C98">
      <w:pPr>
        <w:spacing w:after="0" w:line="240" w:lineRule="auto"/>
      </w:pPr>
      <w:r>
        <w:t xml:space="preserve">The Voluntary and Community </w:t>
      </w:r>
      <w:r w:rsidR="00163E94">
        <w:t>S</w:t>
      </w:r>
      <w:r>
        <w:t>ector</w:t>
      </w:r>
      <w:r w:rsidR="00163E94">
        <w:t xml:space="preserve"> Strategy</w:t>
      </w:r>
      <w:r>
        <w:t xml:space="preserve">, launched in March 2014, set out </w:t>
      </w:r>
      <w:r w:rsidR="00163E94">
        <w:t xml:space="preserve">the commitment </w:t>
      </w:r>
      <w:r w:rsidR="00472B93">
        <w:t xml:space="preserve">to </w:t>
      </w:r>
      <w:r w:rsidR="00163E94">
        <w:t>moving voluntary and community sector organisations from the margins to t</w:t>
      </w:r>
      <w:r w:rsidR="00102DA1">
        <w:t xml:space="preserve">he mainstream in terms of our </w:t>
      </w:r>
      <w:r w:rsidR="00163E94">
        <w:t>contribution to shaping and delivering services and building stronger, more resilient communities</w:t>
      </w:r>
      <w:r>
        <w:t>.</w:t>
      </w:r>
      <w:r w:rsidR="00A458F2">
        <w:t xml:space="preserve">  </w:t>
      </w:r>
    </w:p>
    <w:p w14:paraId="667A418E" w14:textId="77777777" w:rsidR="00295B27" w:rsidRDefault="00295B27" w:rsidP="00FC7C98">
      <w:pPr>
        <w:spacing w:after="0" w:line="240" w:lineRule="auto"/>
      </w:pPr>
    </w:p>
    <w:p w14:paraId="7B31D38D" w14:textId="77777777" w:rsidR="00163E94" w:rsidRDefault="003E2D15" w:rsidP="00FC7C98">
      <w:pPr>
        <w:spacing w:after="0" w:line="240" w:lineRule="auto"/>
      </w:pPr>
      <w:r>
        <w:t>The Strategy recognises and highlights</w:t>
      </w:r>
      <w:r w:rsidR="00163E94">
        <w:t xml:space="preserve"> the particular strengths of </w:t>
      </w:r>
      <w:r w:rsidR="00102DA1">
        <w:t xml:space="preserve">the VCS: as advocates for our </w:t>
      </w:r>
      <w:r w:rsidR="00163E94">
        <w:t xml:space="preserve">users, </w:t>
      </w:r>
      <w:r w:rsidR="00102DA1">
        <w:t>our</w:t>
      </w:r>
      <w:r w:rsidR="00163E94">
        <w:t xml:space="preserve"> closeness to communities</w:t>
      </w:r>
      <w:r w:rsidR="00102DA1">
        <w:t xml:space="preserve"> and what matters to them, our</w:t>
      </w:r>
      <w:r w:rsidR="00163E94">
        <w:t xml:space="preserve"> flexibility and creativity, and above al</w:t>
      </w:r>
      <w:r w:rsidR="00102DA1">
        <w:t>l, ou</w:t>
      </w:r>
      <w:r w:rsidR="00163E94">
        <w:t>r role in identifying and dealing with issues as soon as they arise and before a more costly solution is needed.</w:t>
      </w:r>
      <w:r w:rsidR="00CA68EA">
        <w:t xml:space="preserve"> </w:t>
      </w:r>
      <w:r w:rsidR="003C2DFE">
        <w:t>One of the strategies</w:t>
      </w:r>
      <w:r>
        <w:t xml:space="preserve"> key impacts will be to take forward user centre</w:t>
      </w:r>
      <w:r w:rsidR="000C78E9">
        <w:t>d</w:t>
      </w:r>
      <w:r>
        <w:t xml:space="preserve"> design for local services. </w:t>
      </w:r>
    </w:p>
    <w:p w14:paraId="418DC8CD" w14:textId="77777777" w:rsidR="00CA68EA" w:rsidRDefault="00CA68EA" w:rsidP="00FC7C98">
      <w:pPr>
        <w:spacing w:after="0" w:line="240" w:lineRule="auto"/>
      </w:pPr>
    </w:p>
    <w:p w14:paraId="775D2E9F" w14:textId="77777777" w:rsidR="00022FAD" w:rsidRDefault="00CA68EA" w:rsidP="00FC7C98">
      <w:pPr>
        <w:spacing w:after="0" w:line="240" w:lineRule="auto"/>
      </w:pPr>
      <w:r>
        <w:t xml:space="preserve">However, as we are all aware, </w:t>
      </w:r>
      <w:r w:rsidR="00FC7C98">
        <w:t xml:space="preserve">there have been a number of significant changes </w:t>
      </w:r>
      <w:r>
        <w:t xml:space="preserve">in the environment over the last two years including the huge reductions in local authority budgets, the pressing need to change how we do things to be able to deliver high quality services with fewer resources, and </w:t>
      </w:r>
      <w:r w:rsidR="00472B93">
        <w:t xml:space="preserve">the ever </w:t>
      </w:r>
      <w:r>
        <w:t>increasing demand from a growing</w:t>
      </w:r>
      <w:r w:rsidR="00725A5C">
        <w:t>, increasingly diverse</w:t>
      </w:r>
      <w:r>
        <w:t xml:space="preserve"> </w:t>
      </w:r>
      <w:r w:rsidR="00725A5C">
        <w:t xml:space="preserve">(and ageing) </w:t>
      </w:r>
      <w:r>
        <w:t xml:space="preserve">population. </w:t>
      </w:r>
      <w:r w:rsidR="3410510C">
        <w:t xml:space="preserve">A key response to these pressures has been for the Council to take a Commissioning approach to its service delivery to ensure that every pound is spent as effectively as possible.  This has included moving the Corporate Grants budget to Commissioning and refocusing the Council’s activities around Community Outcomes to enable a more joined-up approach to identifying and meeting priority needs.  </w:t>
      </w:r>
      <w:r w:rsidR="003C2DFE">
        <w:t>We expect</w:t>
      </w:r>
      <w:r w:rsidR="3410510C">
        <w:t xml:space="preserve"> that these changes will result in an increase in the funding </w:t>
      </w:r>
      <w:r w:rsidR="003E2D15">
        <w:t>and thus increased services being delivered by the local VCS.</w:t>
      </w:r>
    </w:p>
    <w:p w14:paraId="4CD274E9" w14:textId="77777777" w:rsidR="00022FAD" w:rsidRDefault="00022FAD" w:rsidP="00FC7C98">
      <w:pPr>
        <w:spacing w:after="0" w:line="240" w:lineRule="auto"/>
      </w:pPr>
    </w:p>
    <w:p w14:paraId="40DBDEE5" w14:textId="77777777" w:rsidR="00CA68EA" w:rsidRDefault="000C78E9" w:rsidP="00FC7C98">
      <w:pPr>
        <w:spacing w:after="0" w:line="240" w:lineRule="auto"/>
      </w:pPr>
      <w:r>
        <w:t xml:space="preserve">The </w:t>
      </w:r>
      <w:r w:rsidR="00472B93">
        <w:t>Strategy was a ground</w:t>
      </w:r>
      <w:r w:rsidR="00A458F2">
        <w:t>-</w:t>
      </w:r>
      <w:r w:rsidR="00472B93">
        <w:t>breaking first for Kingston and was welcomed by all, but in</w:t>
      </w:r>
      <w:r w:rsidR="00725A5C">
        <w:t xml:space="preserve"> the light of </w:t>
      </w:r>
      <w:r w:rsidR="00022FAD">
        <w:t xml:space="preserve">these </w:t>
      </w:r>
      <w:r w:rsidR="00472B93">
        <w:t xml:space="preserve">far-reaching </w:t>
      </w:r>
      <w:r w:rsidR="00022FAD">
        <w:t>changes</w:t>
      </w:r>
      <w:r w:rsidR="00CA68EA">
        <w:t xml:space="preserve"> it </w:t>
      </w:r>
      <w:r w:rsidR="003C2DFE">
        <w:t>seemed</w:t>
      </w:r>
      <w:r w:rsidR="00CA68EA">
        <w:t xml:space="preserve"> </w:t>
      </w:r>
      <w:r w:rsidR="00022FAD">
        <w:t>timely to review the strategy and develop a revised action plan.</w:t>
      </w:r>
      <w:r w:rsidR="00725A5C">
        <w:t xml:space="preserve"> </w:t>
      </w:r>
      <w:r w:rsidR="00472B93">
        <w:t xml:space="preserve"> Th</w:t>
      </w:r>
      <w:r w:rsidR="003D3500">
        <w:t>ese changes</w:t>
      </w:r>
      <w:r w:rsidR="00472B93">
        <w:t xml:space="preserve"> will bring many challenges, not the least of which </w:t>
      </w:r>
      <w:r w:rsidR="00725A5C">
        <w:t>will be how to retain</w:t>
      </w:r>
      <w:r w:rsidR="00472B93">
        <w:t xml:space="preserve"> and strengthen</w:t>
      </w:r>
      <w:r w:rsidR="00725A5C">
        <w:t xml:space="preserve"> the relationships built up over many years with voluntary sector partners in </w:t>
      </w:r>
      <w:r w:rsidR="00472B93">
        <w:t xml:space="preserve">this new </w:t>
      </w:r>
      <w:r w:rsidR="00725A5C">
        <w:t>environment</w:t>
      </w:r>
      <w:r w:rsidR="00472B93">
        <w:t xml:space="preserve"> – something </w:t>
      </w:r>
      <w:r w:rsidR="00102DA1">
        <w:t>Kingston</w:t>
      </w:r>
      <w:r w:rsidR="00472B93">
        <w:t xml:space="preserve"> cannot afford to lose</w:t>
      </w:r>
      <w:r w:rsidR="00725A5C">
        <w:t>.</w:t>
      </w:r>
    </w:p>
    <w:p w14:paraId="4E02BF46" w14:textId="77777777" w:rsidR="00022FAD" w:rsidRDefault="00022FAD" w:rsidP="00FC7C98">
      <w:pPr>
        <w:spacing w:after="0" w:line="240" w:lineRule="auto"/>
      </w:pPr>
    </w:p>
    <w:p w14:paraId="5A70B03A" w14:textId="77777777" w:rsidR="00295B27" w:rsidRDefault="00102DA1" w:rsidP="00295B27">
      <w:pPr>
        <w:spacing w:after="0" w:line="240" w:lineRule="auto"/>
      </w:pPr>
      <w:r>
        <w:t>The Council and partners</w:t>
      </w:r>
      <w:r w:rsidR="003C2DFE">
        <w:t>,</w:t>
      </w:r>
      <w:r>
        <w:t xml:space="preserve"> particularly in the Health Service</w:t>
      </w:r>
      <w:r w:rsidR="003C2DFE">
        <w:t>,</w:t>
      </w:r>
      <w:r>
        <w:t xml:space="preserve"> recognise the social, economic and environmental benefits to the borough’s residents of investing in the </w:t>
      </w:r>
      <w:r w:rsidR="003E2D15">
        <w:t>VCS</w:t>
      </w:r>
      <w:r>
        <w:t xml:space="preserve"> and that it is</w:t>
      </w:r>
      <w:r w:rsidR="00295B27">
        <w:t xml:space="preserve"> more vital than ever that </w:t>
      </w:r>
      <w:r>
        <w:t>they</w:t>
      </w:r>
      <w:r w:rsidR="00295B27">
        <w:t xml:space="preserve"> are committed to developing and</w:t>
      </w:r>
      <w:r>
        <w:t xml:space="preserve"> supporting local organisations.</w:t>
      </w:r>
      <w:r w:rsidR="00295B27">
        <w:t xml:space="preserve"> </w:t>
      </w:r>
    </w:p>
    <w:p w14:paraId="30258C12" w14:textId="77777777" w:rsidR="00295B27" w:rsidRDefault="00295B27" w:rsidP="00FC7C98">
      <w:pPr>
        <w:spacing w:after="0" w:line="240" w:lineRule="auto"/>
      </w:pPr>
    </w:p>
    <w:p w14:paraId="2B7B50B4" w14:textId="77777777" w:rsidR="00522BD6" w:rsidRDefault="00522BD6" w:rsidP="00FC7C98">
      <w:pPr>
        <w:spacing w:after="0" w:line="240" w:lineRule="auto"/>
      </w:pPr>
    </w:p>
    <w:p w14:paraId="34D3CBC7" w14:textId="77777777" w:rsidR="00522BD6" w:rsidRDefault="00522BD6" w:rsidP="00FC7C98">
      <w:pPr>
        <w:spacing w:after="0" w:line="240" w:lineRule="auto"/>
      </w:pPr>
    </w:p>
    <w:p w14:paraId="3C3D6896" w14:textId="77777777" w:rsidR="00472B93" w:rsidRDefault="00472B93" w:rsidP="00FC7C98">
      <w:pPr>
        <w:spacing w:after="0" w:line="240" w:lineRule="auto"/>
      </w:pPr>
      <w:r>
        <w:t>Signed</w:t>
      </w:r>
      <w:r w:rsidR="006C7DA5">
        <w:t xml:space="preserve"> </w:t>
      </w:r>
      <w:r w:rsidR="00102DA1">
        <w:tab/>
      </w:r>
      <w:r w:rsidR="00102DA1">
        <w:tab/>
      </w:r>
      <w:r w:rsidR="00102DA1">
        <w:tab/>
        <w:t xml:space="preserve">Hilary Garner – Chair of Voluntary Sector </w:t>
      </w:r>
      <w:r w:rsidR="003E2D15">
        <w:t xml:space="preserve">Partnership </w:t>
      </w:r>
      <w:r w:rsidR="00102DA1">
        <w:t>Board and C</w:t>
      </w:r>
      <w:r w:rsidR="003E2D15">
        <w:t>EO of Kingston Voluntary Action</w:t>
      </w:r>
    </w:p>
    <w:p w14:paraId="1AE20D6C" w14:textId="77777777" w:rsidR="00522BD6" w:rsidRPr="00522BD6" w:rsidRDefault="00522BD6" w:rsidP="00522BD6">
      <w:pPr>
        <w:spacing w:after="0" w:line="240" w:lineRule="auto"/>
      </w:pPr>
    </w:p>
    <w:p w14:paraId="6D29B449" w14:textId="77777777" w:rsidR="00522BD6" w:rsidRDefault="00522BD6" w:rsidP="00C06396">
      <w:pPr>
        <w:pBdr>
          <w:top w:val="single" w:sz="4" w:space="1" w:color="auto"/>
          <w:left w:val="single" w:sz="4" w:space="4" w:color="auto"/>
          <w:bottom w:val="single" w:sz="4" w:space="1" w:color="auto"/>
          <w:right w:val="single" w:sz="4" w:space="4" w:color="auto"/>
        </w:pBdr>
        <w:spacing w:after="0" w:line="240" w:lineRule="auto"/>
        <w:rPr>
          <w:b/>
          <w:color w:val="FF33CC"/>
          <w:sz w:val="28"/>
          <w:szCs w:val="28"/>
        </w:rPr>
      </w:pPr>
    </w:p>
    <w:p w14:paraId="73F63C5E" w14:textId="77777777" w:rsidR="00725A5C" w:rsidRPr="00E74774" w:rsidRDefault="00CA558F" w:rsidP="00C06396">
      <w:pPr>
        <w:pBdr>
          <w:top w:val="single" w:sz="4" w:space="1" w:color="auto"/>
          <w:left w:val="single" w:sz="4" w:space="4" w:color="auto"/>
          <w:bottom w:val="single" w:sz="4" w:space="1" w:color="auto"/>
          <w:right w:val="single" w:sz="4" w:space="4" w:color="auto"/>
        </w:pBdr>
        <w:spacing w:after="0" w:line="240" w:lineRule="auto"/>
        <w:rPr>
          <w:b/>
          <w:color w:val="FF33CC"/>
          <w:sz w:val="28"/>
          <w:szCs w:val="28"/>
        </w:rPr>
      </w:pPr>
      <w:r>
        <w:rPr>
          <w:b/>
          <w:color w:val="FF33CC"/>
          <w:sz w:val="28"/>
          <w:szCs w:val="28"/>
        </w:rPr>
        <w:t>Our</w:t>
      </w:r>
      <w:r w:rsidR="00725A5C" w:rsidRPr="00E74774">
        <w:rPr>
          <w:b/>
          <w:color w:val="FF33CC"/>
          <w:sz w:val="28"/>
          <w:szCs w:val="28"/>
        </w:rPr>
        <w:t xml:space="preserve"> Voluntary and Community Sector in Kingston</w:t>
      </w:r>
    </w:p>
    <w:p w14:paraId="4876D90F" w14:textId="77777777" w:rsidR="00725A5C" w:rsidRDefault="00725A5C" w:rsidP="00C06396">
      <w:pPr>
        <w:pBdr>
          <w:top w:val="single" w:sz="4" w:space="1" w:color="auto"/>
          <w:left w:val="single" w:sz="4" w:space="4" w:color="auto"/>
          <w:bottom w:val="single" w:sz="4" w:space="1" w:color="auto"/>
          <w:right w:val="single" w:sz="4" w:space="4" w:color="auto"/>
        </w:pBdr>
        <w:spacing w:after="0" w:line="240" w:lineRule="auto"/>
      </w:pPr>
    </w:p>
    <w:p w14:paraId="1271F87B" w14:textId="77777777" w:rsidR="003D3500" w:rsidRDefault="00CA558F" w:rsidP="00C06396">
      <w:pPr>
        <w:pBdr>
          <w:top w:val="single" w:sz="4" w:space="1" w:color="auto"/>
          <w:left w:val="single" w:sz="4" w:space="4" w:color="auto"/>
          <w:bottom w:val="single" w:sz="4" w:space="1" w:color="auto"/>
          <w:right w:val="single" w:sz="4" w:space="4" w:color="auto"/>
        </w:pBdr>
        <w:spacing w:after="0" w:line="240" w:lineRule="auto"/>
      </w:pPr>
      <w:r>
        <w:t>Our</w:t>
      </w:r>
      <w:r w:rsidR="3410510C">
        <w:t xml:space="preserve"> Voluntary </w:t>
      </w:r>
      <w:r w:rsidR="3410510C" w:rsidRPr="005B43FF">
        <w:t>and</w:t>
      </w:r>
      <w:r w:rsidR="3410510C" w:rsidRPr="3410510C">
        <w:rPr>
          <w:color w:val="FF0000"/>
        </w:rPr>
        <w:t xml:space="preserve"> </w:t>
      </w:r>
      <w:r w:rsidR="3410510C">
        <w:t xml:space="preserve">Community Sector (VCS) in Kingston is extremely diverse and provides services for older people, carers, disabled people, the homeless, refugees and asylum seekers, people with learning disabilities, victims of crime, those living on low incomes, young people and families </w:t>
      </w:r>
      <w:r w:rsidR="003C2DFE">
        <w:t xml:space="preserve">to name only a few </w:t>
      </w:r>
      <w:r w:rsidR="3410510C">
        <w:t xml:space="preserve">– in other words, pretty much everybody.  </w:t>
      </w:r>
    </w:p>
    <w:p w14:paraId="39564CF8" w14:textId="77777777" w:rsidR="003D3500" w:rsidRDefault="003D3500" w:rsidP="00C06396">
      <w:pPr>
        <w:pBdr>
          <w:top w:val="single" w:sz="4" w:space="1" w:color="auto"/>
          <w:left w:val="single" w:sz="4" w:space="4" w:color="auto"/>
          <w:bottom w:val="single" w:sz="4" w:space="1" w:color="auto"/>
          <w:right w:val="single" w:sz="4" w:space="4" w:color="auto"/>
        </w:pBdr>
        <w:spacing w:after="0" w:line="240" w:lineRule="auto"/>
      </w:pPr>
    </w:p>
    <w:p w14:paraId="3ED3881B" w14:textId="77777777" w:rsidR="003D3500" w:rsidRDefault="001A11A7" w:rsidP="00C06396">
      <w:pPr>
        <w:pBdr>
          <w:top w:val="single" w:sz="4" w:space="1" w:color="auto"/>
          <w:left w:val="single" w:sz="4" w:space="4" w:color="auto"/>
          <w:bottom w:val="single" w:sz="4" w:space="1" w:color="auto"/>
          <w:right w:val="single" w:sz="4" w:space="4" w:color="auto"/>
        </w:pBdr>
        <w:spacing w:after="0" w:line="240" w:lineRule="auto"/>
      </w:pPr>
      <w:r>
        <w:t>Many of these people may be</w:t>
      </w:r>
      <w:r w:rsidR="00CA558F">
        <w:t xml:space="preserve"> particularly vulnerable but our</w:t>
      </w:r>
      <w:r>
        <w:t xml:space="preserve"> VCS also provides activities that give people of all ages and backgrounds the chance to enhance their lives whether through improving their health and wellbeing , enjoying arts, cultural, sporting or leisure activities or through enhancing </w:t>
      </w:r>
      <w:r w:rsidR="00FD279A">
        <w:t>our shared spaces and public realm and providing habitats for biodiversity.</w:t>
      </w:r>
      <w:r w:rsidR="00A323E1">
        <w:t xml:space="preserve"> </w:t>
      </w:r>
      <w:r w:rsidR="00CA558F">
        <w:t>Our</w:t>
      </w:r>
      <w:r w:rsidR="3410510C">
        <w:t xml:space="preserve"> VCS is also essential to the fabric of the community, supporting local action and democracy, developing social capital and making best use of community assets (people, places </w:t>
      </w:r>
      <w:r w:rsidR="000C78E9">
        <w:t>etc.</w:t>
      </w:r>
      <w:r w:rsidR="3410510C">
        <w:t>)</w:t>
      </w:r>
      <w:r w:rsidR="00CA558F">
        <w:t>.</w:t>
      </w:r>
    </w:p>
    <w:p w14:paraId="54194E9F" w14:textId="77777777" w:rsidR="00935FFC" w:rsidRDefault="00935FFC" w:rsidP="00C06396">
      <w:pPr>
        <w:pBdr>
          <w:top w:val="single" w:sz="4" w:space="1" w:color="auto"/>
          <w:left w:val="single" w:sz="4" w:space="4" w:color="auto"/>
          <w:bottom w:val="single" w:sz="4" w:space="1" w:color="auto"/>
          <w:right w:val="single" w:sz="4" w:space="4" w:color="auto"/>
        </w:pBdr>
        <w:spacing w:after="0" w:line="240" w:lineRule="auto"/>
      </w:pPr>
    </w:p>
    <w:p w14:paraId="69EA094B" w14:textId="77777777" w:rsidR="00472B93" w:rsidRDefault="3410510C" w:rsidP="00C06396">
      <w:pPr>
        <w:pBdr>
          <w:top w:val="single" w:sz="4" w:space="1" w:color="auto"/>
          <w:left w:val="single" w:sz="4" w:space="4" w:color="auto"/>
          <w:bottom w:val="single" w:sz="4" w:space="1" w:color="auto"/>
          <w:right w:val="single" w:sz="4" w:space="4" w:color="auto"/>
        </w:pBdr>
        <w:spacing w:after="0" w:line="240" w:lineRule="auto"/>
      </w:pPr>
      <w:r>
        <w:t xml:space="preserve">Kingston Voluntary Action has a membership of more than 400 local voluntary, community and faith organisations whilst the South London CVS Partnership identifies over 300 active registered charities in Kingston with a total annual income of over £50 million.  These range from small groups made up entirely of volunteers to quite substantial enterprises with six figure turnovers. Between them </w:t>
      </w:r>
      <w:r w:rsidR="00CA558F">
        <w:t>our</w:t>
      </w:r>
      <w:r>
        <w:t xml:space="preserve"> local VCS brings:</w:t>
      </w:r>
    </w:p>
    <w:p w14:paraId="527372CA" w14:textId="77777777" w:rsidR="00AA2BB3" w:rsidRDefault="00AA2BB3" w:rsidP="00C06396">
      <w:pPr>
        <w:pBdr>
          <w:top w:val="single" w:sz="4" w:space="1" w:color="auto"/>
          <w:left w:val="single" w:sz="4" w:space="4" w:color="auto"/>
          <w:bottom w:val="single" w:sz="4" w:space="1" w:color="auto"/>
          <w:right w:val="single" w:sz="4" w:space="4" w:color="auto"/>
        </w:pBdr>
        <w:spacing w:after="0" w:line="240" w:lineRule="auto"/>
      </w:pPr>
    </w:p>
    <w:p w14:paraId="3207827B" w14:textId="77777777" w:rsidR="00A72BA1" w:rsidRDefault="00A72BA1" w:rsidP="00935FFC">
      <w:pPr>
        <w:pStyle w:val="ListParagraph"/>
        <w:numPr>
          <w:ilvl w:val="0"/>
          <w:numId w:val="10"/>
        </w:numPr>
        <w:pBdr>
          <w:top w:val="single" w:sz="4" w:space="1" w:color="auto"/>
          <w:left w:val="single" w:sz="4" w:space="4" w:color="auto"/>
          <w:bottom w:val="single" w:sz="4" w:space="1" w:color="auto"/>
          <w:right w:val="single" w:sz="4" w:space="4" w:color="auto"/>
        </w:pBdr>
        <w:spacing w:after="0" w:line="240" w:lineRule="auto"/>
      </w:pPr>
      <w:r>
        <w:t>£</w:t>
      </w:r>
      <w:r w:rsidR="00935FFC">
        <w:t xml:space="preserve"> million</w:t>
      </w:r>
      <w:r>
        <w:t xml:space="preserve">s extra </w:t>
      </w:r>
      <w:r w:rsidR="007912B7">
        <w:t xml:space="preserve">from charitable trusts and </w:t>
      </w:r>
      <w:r w:rsidR="00102DA1">
        <w:t>our</w:t>
      </w:r>
      <w:r w:rsidR="007912B7">
        <w:t xml:space="preserve"> own fundraising efforts </w:t>
      </w:r>
      <w:r>
        <w:t xml:space="preserve">into the borough to support local residents. </w:t>
      </w:r>
    </w:p>
    <w:p w14:paraId="65256D04" w14:textId="77777777" w:rsidR="00C06396" w:rsidRDefault="00C06396" w:rsidP="00935FFC">
      <w:pPr>
        <w:pStyle w:val="ListParagraph"/>
        <w:numPr>
          <w:ilvl w:val="0"/>
          <w:numId w:val="10"/>
        </w:numPr>
        <w:pBdr>
          <w:top w:val="single" w:sz="4" w:space="1" w:color="auto"/>
          <w:left w:val="single" w:sz="4" w:space="4" w:color="auto"/>
          <w:bottom w:val="single" w:sz="4" w:space="1" w:color="auto"/>
          <w:right w:val="single" w:sz="4" w:space="4" w:color="auto"/>
        </w:pBdr>
        <w:spacing w:after="0" w:line="240" w:lineRule="auto"/>
      </w:pPr>
      <w:r>
        <w:t xml:space="preserve">Employment </w:t>
      </w:r>
      <w:r w:rsidR="00935FFC">
        <w:t xml:space="preserve">and skills development </w:t>
      </w:r>
      <w:r w:rsidR="003C2DFE">
        <w:t>for</w:t>
      </w:r>
      <w:r>
        <w:t xml:space="preserve"> local people</w:t>
      </w:r>
      <w:r w:rsidR="00935FFC">
        <w:t xml:space="preserve"> – contributing to local</w:t>
      </w:r>
      <w:r w:rsidR="00A458F2">
        <w:t xml:space="preserve"> growth</w:t>
      </w:r>
      <w:r w:rsidR="00935FFC">
        <w:t xml:space="preserve"> </w:t>
      </w:r>
      <w:r w:rsidR="00A458F2">
        <w:t>and contributing to keeping the local economy buoyant.</w:t>
      </w:r>
    </w:p>
    <w:p w14:paraId="67D42577" w14:textId="77777777" w:rsidR="00C06396" w:rsidRDefault="00C06396" w:rsidP="00935FFC">
      <w:pPr>
        <w:pStyle w:val="ListParagraph"/>
        <w:numPr>
          <w:ilvl w:val="0"/>
          <w:numId w:val="10"/>
        </w:numPr>
        <w:pBdr>
          <w:top w:val="single" w:sz="4" w:space="1" w:color="auto"/>
          <w:left w:val="single" w:sz="4" w:space="4" w:color="auto"/>
          <w:bottom w:val="single" w:sz="4" w:space="1" w:color="auto"/>
          <w:right w:val="single" w:sz="4" w:space="4" w:color="auto"/>
        </w:pBdr>
        <w:spacing w:after="0" w:line="240" w:lineRule="auto"/>
      </w:pPr>
      <w:r>
        <w:t xml:space="preserve">Volunteering opportunities </w:t>
      </w:r>
      <w:r w:rsidR="00935FFC">
        <w:t>to help reduce social isolation and develop skills</w:t>
      </w:r>
    </w:p>
    <w:p w14:paraId="50AE3F77" w14:textId="77777777" w:rsidR="00935FFC" w:rsidRDefault="00935FFC" w:rsidP="00935FFC">
      <w:pPr>
        <w:pStyle w:val="ListParagraph"/>
        <w:numPr>
          <w:ilvl w:val="0"/>
          <w:numId w:val="10"/>
        </w:numPr>
        <w:pBdr>
          <w:top w:val="single" w:sz="4" w:space="1" w:color="auto"/>
          <w:left w:val="single" w:sz="4" w:space="4" w:color="auto"/>
          <w:bottom w:val="single" w:sz="4" w:space="1" w:color="auto"/>
          <w:right w:val="single" w:sz="4" w:space="4" w:color="auto"/>
        </w:pBdr>
        <w:spacing w:after="0" w:line="240" w:lineRule="auto"/>
      </w:pPr>
      <w:r>
        <w:t xml:space="preserve">£ millions in volunteer in-kind contributions </w:t>
      </w:r>
    </w:p>
    <w:p w14:paraId="47C58E06" w14:textId="77777777" w:rsidR="007912B7" w:rsidRDefault="007912B7" w:rsidP="00C06396">
      <w:pPr>
        <w:pBdr>
          <w:top w:val="single" w:sz="4" w:space="1" w:color="auto"/>
          <w:left w:val="single" w:sz="4" w:space="4" w:color="auto"/>
          <w:bottom w:val="single" w:sz="4" w:space="1" w:color="auto"/>
          <w:right w:val="single" w:sz="4" w:space="4" w:color="auto"/>
        </w:pBdr>
        <w:spacing w:after="0" w:line="240" w:lineRule="auto"/>
      </w:pPr>
    </w:p>
    <w:p w14:paraId="00E65533" w14:textId="77777777" w:rsidR="00842300" w:rsidRDefault="3410510C" w:rsidP="00C06396">
      <w:pPr>
        <w:pBdr>
          <w:top w:val="single" w:sz="4" w:space="1" w:color="auto"/>
          <w:left w:val="single" w:sz="4" w:space="4" w:color="auto"/>
          <w:bottom w:val="single" w:sz="4" w:space="1" w:color="auto"/>
          <w:right w:val="single" w:sz="4" w:space="4" w:color="auto"/>
        </w:pBdr>
        <w:spacing w:after="0" w:line="240" w:lineRule="auto"/>
      </w:pPr>
      <w:r>
        <w:t xml:space="preserve">What makes </w:t>
      </w:r>
      <w:r w:rsidR="00CA558F">
        <w:t>our</w:t>
      </w:r>
      <w:r>
        <w:t xml:space="preserve"> VCS so special</w:t>
      </w:r>
      <w:r w:rsidR="00C823B3">
        <w:t>:</w:t>
      </w:r>
    </w:p>
    <w:p w14:paraId="1F5F30EA" w14:textId="77777777" w:rsidR="00842300" w:rsidRDefault="00102DA1" w:rsidP="00C06396">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ind w:left="360"/>
      </w:pPr>
      <w:r>
        <w:t>We</w:t>
      </w:r>
      <w:r w:rsidR="00842300">
        <w:t xml:space="preserve"> do more than represent the voice of the community: often </w:t>
      </w:r>
      <w:r w:rsidR="00CA558F">
        <w:t>we</w:t>
      </w:r>
      <w:r w:rsidR="00842300">
        <w:t xml:space="preserve"> </w:t>
      </w:r>
      <w:r w:rsidR="00842300" w:rsidRPr="000C78E9">
        <w:t>are</w:t>
      </w:r>
      <w:r w:rsidR="00842300">
        <w:t xml:space="preserve"> the local community</w:t>
      </w:r>
    </w:p>
    <w:p w14:paraId="21E43B01" w14:textId="77777777" w:rsidR="00842300" w:rsidRDefault="00102DA1" w:rsidP="00C06396">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ind w:left="360"/>
      </w:pPr>
      <w:r>
        <w:t xml:space="preserve">We </w:t>
      </w:r>
      <w:r w:rsidR="003C2DFE">
        <w:t>are close to our</w:t>
      </w:r>
      <w:r w:rsidR="00842300">
        <w:t xml:space="preserve"> users and know what services people want and need and how they want them delivered</w:t>
      </w:r>
    </w:p>
    <w:p w14:paraId="4BB86AF8" w14:textId="77777777" w:rsidR="00842300" w:rsidRDefault="00102DA1" w:rsidP="00C06396">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ind w:left="360"/>
      </w:pPr>
      <w:r>
        <w:t>We</w:t>
      </w:r>
      <w:r w:rsidR="00842300">
        <w:t xml:space="preserve"> are flexible and adaptable to needs as they arise and are well-placed to provide early help before problems escalate</w:t>
      </w:r>
    </w:p>
    <w:p w14:paraId="7CEC86DE" w14:textId="77777777" w:rsidR="00842300" w:rsidRDefault="00102DA1" w:rsidP="00C06396">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ind w:left="360"/>
      </w:pPr>
      <w:r>
        <w:t>We</w:t>
      </w:r>
      <w:r w:rsidR="00842300">
        <w:t xml:space="preserve"> are often able to hold on to people who may be waiting to access statutory services and who may otherwise be lost </w:t>
      </w:r>
    </w:p>
    <w:p w14:paraId="18FEE1D8" w14:textId="77777777" w:rsidR="00842300" w:rsidRDefault="00842300" w:rsidP="00C06396">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ind w:left="360"/>
      </w:pPr>
      <w:r>
        <w:t>People frequently prefer to contact a voluntary sector organisation for help</w:t>
      </w:r>
      <w:r w:rsidR="003C2DFE">
        <w:t xml:space="preserve"> than a statutory agency</w:t>
      </w:r>
    </w:p>
    <w:p w14:paraId="052AE43A" w14:textId="77777777" w:rsidR="00842300" w:rsidRDefault="00102DA1" w:rsidP="00C06396">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ind w:left="360"/>
      </w:pPr>
      <w:r>
        <w:t>We</w:t>
      </w:r>
      <w:r w:rsidR="00842300">
        <w:t xml:space="preserve"> are used to making money stretch a long way and to accoun</w:t>
      </w:r>
      <w:r w:rsidR="00A72BA1">
        <w:t>ting for every penny</w:t>
      </w:r>
    </w:p>
    <w:p w14:paraId="598246DB" w14:textId="77777777" w:rsidR="00725A5C" w:rsidRPr="00E74774" w:rsidRDefault="001F47FA" w:rsidP="001F47FA">
      <w:pPr>
        <w:rPr>
          <w:b/>
          <w:color w:val="FF33CC"/>
          <w:sz w:val="28"/>
          <w:szCs w:val="28"/>
        </w:rPr>
      </w:pPr>
      <w:r w:rsidRPr="00E74774">
        <w:rPr>
          <w:b/>
          <w:color w:val="FF33CC"/>
          <w:sz w:val="28"/>
          <w:szCs w:val="28"/>
        </w:rPr>
        <w:lastRenderedPageBreak/>
        <w:t>1.</w:t>
      </w:r>
      <w:r w:rsidR="000C78E9">
        <w:rPr>
          <w:b/>
          <w:color w:val="FF33CC"/>
          <w:sz w:val="28"/>
          <w:szCs w:val="28"/>
        </w:rPr>
        <w:t xml:space="preserve"> </w:t>
      </w:r>
      <w:r w:rsidR="3410510C" w:rsidRPr="00E74774">
        <w:rPr>
          <w:b/>
          <w:color w:val="FF33CC"/>
          <w:sz w:val="28"/>
          <w:szCs w:val="28"/>
        </w:rPr>
        <w:t>Why do we have a Voluntary and Community Sector Strategy?</w:t>
      </w:r>
    </w:p>
    <w:p w14:paraId="75E52BD4" w14:textId="77777777" w:rsidR="00E111ED" w:rsidRDefault="001F47FA" w:rsidP="00FC7C98">
      <w:pPr>
        <w:spacing w:after="0" w:line="240" w:lineRule="auto"/>
      </w:pPr>
      <w:r>
        <w:t xml:space="preserve">1.1 </w:t>
      </w:r>
      <w:r w:rsidR="3410510C">
        <w:t xml:space="preserve">Surviving austerity, with tightening budgets and increasing </w:t>
      </w:r>
      <w:r w:rsidR="3410510C" w:rsidRPr="00292A8A">
        <w:t>demand, is a</w:t>
      </w:r>
      <w:r w:rsidR="3410510C">
        <w:t xml:space="preserve"> challenge for everyone in Kingston as elsewhere but particularly for voluntary and community sector organisat</w:t>
      </w:r>
      <w:r w:rsidR="00CA558F">
        <w:t>ions.  Yet at the same time, our</w:t>
      </w:r>
      <w:r w:rsidR="3410510C">
        <w:t xml:space="preserve"> VCS is needed more than ever to help fill gaps left by the reduction or withdrawal of public services previously</w:t>
      </w:r>
      <w:r w:rsidR="003C2DFE">
        <w:t xml:space="preserve"> provided by statutory bodies and</w:t>
      </w:r>
      <w:r w:rsidR="3410510C">
        <w:t xml:space="preserve"> to deliver local services </w:t>
      </w:r>
      <w:r w:rsidR="00647F2C">
        <w:t>that residents want and need.  We</w:t>
      </w:r>
      <w:r w:rsidR="3410510C">
        <w:t xml:space="preserve"> also play a key role in getting the voice of local communities heard and in supporting local democracy.</w:t>
      </w:r>
      <w:r w:rsidR="003C2DFE">
        <w:t xml:space="preserve"> </w:t>
      </w:r>
      <w:r w:rsidR="3410510C">
        <w:t xml:space="preserve">Sustaining and developing a robust local VCS as key partners in making the vision set out below into a reality is more important than ever to the borough as a whole. </w:t>
      </w:r>
    </w:p>
    <w:p w14:paraId="73CF4FE9" w14:textId="77777777" w:rsidR="00292A8A" w:rsidRDefault="00292A8A" w:rsidP="00FC7C98">
      <w:pPr>
        <w:spacing w:after="0" w:line="240" w:lineRule="auto"/>
      </w:pPr>
    </w:p>
    <w:p w14:paraId="73398D0F" w14:textId="77777777" w:rsidR="00E111ED" w:rsidRDefault="003C2DFE" w:rsidP="00FC7C98">
      <w:pPr>
        <w:spacing w:after="0" w:line="240" w:lineRule="auto"/>
      </w:pPr>
      <w:r>
        <w:t>1.2</w:t>
      </w:r>
      <w:r w:rsidR="00E111ED">
        <w:t xml:space="preserve"> The strategy can support effective achievem</w:t>
      </w:r>
      <w:r w:rsidR="00AA2BB3">
        <w:t>ent of the Outcome Based Budget</w:t>
      </w:r>
      <w:r w:rsidR="00E111ED">
        <w:t xml:space="preserve">ing Framework objectives that has been adopted by RBK and thereby strengthen community cohesion and links whilst making the best use of scarce resources. The key objectives are: People achieve wellbeing; a place where people prosper; a safe and resilient community, a network of engaged communities; a borough that embraces growth; a borough of choice and opportunity; a sustainable borough and a borough with an identity. As can be seen from the action plan to deliver the strategy , these key themes are echoed and evidenced by the work </w:t>
      </w:r>
      <w:r w:rsidR="00647F2C">
        <w:t>we do together in our community and can readily be extended to incorporate the key objectives of our Statutory partners such as the Clinical Commissioning Group.</w:t>
      </w:r>
    </w:p>
    <w:p w14:paraId="01E57C8D" w14:textId="77777777" w:rsidR="00FB2021" w:rsidRDefault="00FB2021" w:rsidP="00FC7C98">
      <w:pPr>
        <w:spacing w:after="0" w:line="240" w:lineRule="auto"/>
      </w:pPr>
    </w:p>
    <w:p w14:paraId="5BE7E9B0" w14:textId="77777777" w:rsidR="00FB2021" w:rsidRPr="00E74774" w:rsidRDefault="3410510C" w:rsidP="3410510C">
      <w:pPr>
        <w:spacing w:after="0" w:line="240" w:lineRule="auto"/>
        <w:rPr>
          <w:b/>
          <w:color w:val="FF33CC"/>
          <w:sz w:val="28"/>
          <w:szCs w:val="28"/>
        </w:rPr>
      </w:pPr>
      <w:r w:rsidRPr="00E74774">
        <w:rPr>
          <w:b/>
          <w:bCs/>
          <w:color w:val="FF33CC"/>
          <w:sz w:val="28"/>
          <w:szCs w:val="28"/>
        </w:rPr>
        <w:t>2.</w:t>
      </w:r>
      <w:r w:rsidR="001F47FA" w:rsidRPr="00E74774">
        <w:rPr>
          <w:b/>
          <w:bCs/>
          <w:color w:val="FF33CC"/>
          <w:sz w:val="28"/>
          <w:szCs w:val="28"/>
        </w:rPr>
        <w:t xml:space="preserve"> </w:t>
      </w:r>
      <w:r w:rsidRPr="00E74774">
        <w:rPr>
          <w:b/>
          <w:bCs/>
          <w:color w:val="FF33CC"/>
          <w:sz w:val="28"/>
          <w:szCs w:val="28"/>
        </w:rPr>
        <w:t>The Vision</w:t>
      </w:r>
    </w:p>
    <w:p w14:paraId="6AFCF52E" w14:textId="77777777" w:rsidR="00FB2021" w:rsidRDefault="00FB2021" w:rsidP="00FB2021">
      <w:pPr>
        <w:spacing w:after="0" w:line="240" w:lineRule="auto"/>
      </w:pPr>
    </w:p>
    <w:p w14:paraId="0556DA4E" w14:textId="77777777" w:rsidR="00FB2021" w:rsidRDefault="00FB2021" w:rsidP="00FB2021">
      <w:pPr>
        <w:spacing w:after="0" w:line="240" w:lineRule="auto"/>
      </w:pPr>
      <w:r>
        <w:t>The Vision is to have a borough where:</w:t>
      </w:r>
    </w:p>
    <w:p w14:paraId="700187B9" w14:textId="77777777" w:rsidR="003C2DFE" w:rsidRDefault="003C2DFE" w:rsidP="00FB2021">
      <w:pPr>
        <w:spacing w:after="0" w:line="240" w:lineRule="auto"/>
      </w:pPr>
    </w:p>
    <w:p w14:paraId="05C0B68D" w14:textId="77777777" w:rsidR="00F848B4" w:rsidRDefault="001F47FA" w:rsidP="001F47FA">
      <w:pPr>
        <w:spacing w:after="0" w:line="240" w:lineRule="auto"/>
      </w:pPr>
      <w:r>
        <w:t xml:space="preserve">2.1 </w:t>
      </w:r>
      <w:r w:rsidR="00CA558F">
        <w:t>Our Voluntary and Community S</w:t>
      </w:r>
      <w:r w:rsidR="00FB2021">
        <w:t xml:space="preserve">ector is robust, recognised and valued for its role and contribution </w:t>
      </w:r>
      <w:r w:rsidR="00F848B4">
        <w:t xml:space="preserve">(economic, social and environmental) </w:t>
      </w:r>
      <w:r w:rsidR="00FB2021">
        <w:t>in shaping and delivering services that communities want and need across a diverse range of activities</w:t>
      </w:r>
      <w:r w:rsidR="00F848B4">
        <w:t xml:space="preserve"> and in building resilient and resourceful communities</w:t>
      </w:r>
      <w:r w:rsidR="00FB2021">
        <w:t>.</w:t>
      </w:r>
    </w:p>
    <w:p w14:paraId="4D27F9E4" w14:textId="77777777" w:rsidR="00FB2021" w:rsidRDefault="00F848B4" w:rsidP="001F47FA">
      <w:pPr>
        <w:pStyle w:val="ListParagraph"/>
        <w:spacing w:after="0" w:line="240" w:lineRule="auto"/>
        <w:ind w:left="360"/>
      </w:pPr>
      <w:r>
        <w:t xml:space="preserve"> </w:t>
      </w:r>
    </w:p>
    <w:p w14:paraId="11AA8249" w14:textId="77777777" w:rsidR="00FB2021" w:rsidRDefault="001F47FA" w:rsidP="001F47FA">
      <w:pPr>
        <w:spacing w:after="0" w:line="240" w:lineRule="auto"/>
      </w:pPr>
      <w:r>
        <w:t xml:space="preserve">2.2 </w:t>
      </w:r>
      <w:r w:rsidR="00FB2021">
        <w:t>An increasing amount/share of funding t</w:t>
      </w:r>
      <w:r w:rsidR="00CA558F">
        <w:t>hrough commissioning goes to our</w:t>
      </w:r>
      <w:r w:rsidR="00FB2021">
        <w:t xml:space="preserve"> local VCS (against national trends of a reducing share reported by NCVO)</w:t>
      </w:r>
      <w:r w:rsidR="00C823B3">
        <w:t>.</w:t>
      </w:r>
    </w:p>
    <w:p w14:paraId="5554F7EB" w14:textId="77777777" w:rsidR="00FB2021" w:rsidRDefault="00FB2021" w:rsidP="001F47FA">
      <w:pPr>
        <w:pStyle w:val="ListParagraph"/>
        <w:spacing w:after="0" w:line="240" w:lineRule="auto"/>
        <w:ind w:left="360"/>
      </w:pPr>
    </w:p>
    <w:p w14:paraId="37B7E490" w14:textId="77777777" w:rsidR="00FB2021" w:rsidRDefault="001F47FA" w:rsidP="001F47FA">
      <w:pPr>
        <w:spacing w:after="0" w:line="240" w:lineRule="auto"/>
      </w:pPr>
      <w:r>
        <w:t xml:space="preserve">2.3 </w:t>
      </w:r>
      <w:r w:rsidR="00FB2021">
        <w:t>There is a clear shared vision around providing and encouraging innovative ways of making the most of limited resources available, improving service outcomes, meeting local needs, and returning money to the local economy.</w:t>
      </w:r>
    </w:p>
    <w:p w14:paraId="24C83B43" w14:textId="77777777" w:rsidR="00FB2021" w:rsidRDefault="00FB2021" w:rsidP="001F47FA">
      <w:pPr>
        <w:spacing w:after="0" w:line="240" w:lineRule="auto"/>
      </w:pPr>
    </w:p>
    <w:p w14:paraId="30962FBD" w14:textId="77777777" w:rsidR="00FB2021" w:rsidRDefault="001F47FA" w:rsidP="001F47FA">
      <w:pPr>
        <w:spacing w:after="0" w:line="240" w:lineRule="auto"/>
      </w:pPr>
      <w:r>
        <w:t xml:space="preserve">2.4 </w:t>
      </w:r>
      <w:r w:rsidR="00FB2021">
        <w:t>Commissioners from all Statutory Partners are able to benefit from innovative, responsive and accessible local services, knowing that any investment will bring improvements for our communities and our environment, and will reach out to the more isolated and marginalised.</w:t>
      </w:r>
    </w:p>
    <w:p w14:paraId="0CB23A8F" w14:textId="77777777" w:rsidR="00FB2021" w:rsidRDefault="00F848B4" w:rsidP="001F47FA">
      <w:pPr>
        <w:spacing w:after="0" w:line="240" w:lineRule="auto"/>
      </w:pPr>
      <w:r>
        <w:t xml:space="preserve"> </w:t>
      </w:r>
    </w:p>
    <w:p w14:paraId="2C7D2BB5" w14:textId="77777777" w:rsidR="00FB2021" w:rsidRDefault="001F47FA" w:rsidP="001F47FA">
      <w:pPr>
        <w:spacing w:after="0" w:line="240" w:lineRule="auto"/>
      </w:pPr>
      <w:r>
        <w:lastRenderedPageBreak/>
        <w:t xml:space="preserve">2.5 </w:t>
      </w:r>
      <w:r w:rsidR="00FB2021">
        <w:t>A strong and experienced contribution by Voluntary and Community Sector organisations to early intervention and prevention, thus avoiding or reducing the need for more complex and costly interventions and supporting and maintaining independence and a good quality of life for everyone.</w:t>
      </w:r>
    </w:p>
    <w:p w14:paraId="59029B97" w14:textId="77777777" w:rsidR="00FB2021" w:rsidRDefault="00FB2021" w:rsidP="00FC7C98">
      <w:pPr>
        <w:spacing w:after="0" w:line="240" w:lineRule="auto"/>
      </w:pPr>
    </w:p>
    <w:p w14:paraId="5417CBB7" w14:textId="77777777" w:rsidR="00DB1422" w:rsidRPr="00E74774" w:rsidRDefault="001F47FA" w:rsidP="00FC7C98">
      <w:pPr>
        <w:spacing w:after="0" w:line="240" w:lineRule="auto"/>
        <w:rPr>
          <w:b/>
          <w:color w:val="FF33CC"/>
          <w:sz w:val="28"/>
          <w:szCs w:val="28"/>
        </w:rPr>
      </w:pPr>
      <w:r w:rsidRPr="00E74774">
        <w:rPr>
          <w:b/>
          <w:color w:val="FF33CC"/>
          <w:sz w:val="28"/>
          <w:szCs w:val="28"/>
        </w:rPr>
        <w:t xml:space="preserve">3. </w:t>
      </w:r>
      <w:r w:rsidR="00DB1422" w:rsidRPr="00E74774">
        <w:rPr>
          <w:b/>
          <w:color w:val="FF33CC"/>
          <w:sz w:val="28"/>
          <w:szCs w:val="28"/>
        </w:rPr>
        <w:t>The changing context: new and greater challenges</w:t>
      </w:r>
    </w:p>
    <w:p w14:paraId="2FEF1FD8" w14:textId="77777777" w:rsidR="00FB2021" w:rsidRDefault="00FB2021" w:rsidP="00FC7C98">
      <w:pPr>
        <w:spacing w:after="0" w:line="240" w:lineRule="auto"/>
      </w:pPr>
    </w:p>
    <w:p w14:paraId="03A57EAF" w14:textId="77777777" w:rsidR="00E64C90" w:rsidRDefault="001F47FA" w:rsidP="00FC7C98">
      <w:pPr>
        <w:spacing w:after="0" w:line="240" w:lineRule="auto"/>
      </w:pPr>
      <w:r>
        <w:t xml:space="preserve">3.1 </w:t>
      </w:r>
      <w:r w:rsidR="00DB1422">
        <w:t>Much has changed over the last eighteen months bringing new and greater challenges, all of which (and more) will have to be managed if we a</w:t>
      </w:r>
      <w:r w:rsidR="00F848B4">
        <w:t>r</w:t>
      </w:r>
      <w:r w:rsidR="00DB1422">
        <w:t>e to achieve th</w:t>
      </w:r>
      <w:r w:rsidR="00F848B4">
        <w:t>is</w:t>
      </w:r>
      <w:r w:rsidR="00DB1422">
        <w:t xml:space="preserve"> vision.  </w:t>
      </w:r>
      <w:r w:rsidR="00DB1422" w:rsidRPr="003C2DFE">
        <w:rPr>
          <w:b/>
        </w:rPr>
        <w:t>These are</w:t>
      </w:r>
      <w:r w:rsidR="003D3B05" w:rsidRPr="00FB2021">
        <w:rPr>
          <w:b/>
        </w:rPr>
        <w:t xml:space="preserve"> </w:t>
      </w:r>
      <w:r w:rsidR="003D3B05" w:rsidRPr="008B577D">
        <w:rPr>
          <w:b/>
        </w:rPr>
        <w:t xml:space="preserve">the reasons </w:t>
      </w:r>
      <w:r w:rsidR="008A1141" w:rsidRPr="008B577D">
        <w:rPr>
          <w:b/>
        </w:rPr>
        <w:t>why we still need a Voluntary and Community Sector Strategy</w:t>
      </w:r>
      <w:r w:rsidR="003D3B05" w:rsidRPr="008B577D">
        <w:rPr>
          <w:b/>
        </w:rPr>
        <w:t xml:space="preserve"> and action plan</w:t>
      </w:r>
      <w:r w:rsidR="00E55718">
        <w:rPr>
          <w:b/>
        </w:rPr>
        <w:t xml:space="preserve"> that highlights </w:t>
      </w:r>
      <w:r w:rsidR="00CA558F">
        <w:rPr>
          <w:b/>
        </w:rPr>
        <w:t>the role and contribution of our</w:t>
      </w:r>
      <w:r w:rsidR="00E55718">
        <w:rPr>
          <w:b/>
        </w:rPr>
        <w:t xml:space="preserve"> VCS and sets out a way forward in changing and difficult times</w:t>
      </w:r>
      <w:r w:rsidR="003D3B05" w:rsidRPr="008B577D">
        <w:rPr>
          <w:b/>
        </w:rPr>
        <w:t>.</w:t>
      </w:r>
    </w:p>
    <w:p w14:paraId="7EF9B18C" w14:textId="77777777" w:rsidR="00595A5A" w:rsidRDefault="00595A5A" w:rsidP="00FC7C98">
      <w:pPr>
        <w:spacing w:after="0" w:line="240" w:lineRule="auto"/>
      </w:pPr>
    </w:p>
    <w:p w14:paraId="4C1D4DFB" w14:textId="77777777" w:rsidR="009F50F1" w:rsidRPr="003D3500" w:rsidRDefault="001F47FA" w:rsidP="009F50F1">
      <w:pPr>
        <w:spacing w:after="0" w:line="240" w:lineRule="auto"/>
        <w:rPr>
          <w:b/>
        </w:rPr>
      </w:pPr>
      <w:r>
        <w:rPr>
          <w:b/>
        </w:rPr>
        <w:t xml:space="preserve">3.2 </w:t>
      </w:r>
      <w:r w:rsidR="009F50F1" w:rsidRPr="003D3500">
        <w:rPr>
          <w:b/>
        </w:rPr>
        <w:t>Changing role of the state</w:t>
      </w:r>
      <w:r w:rsidR="006C7DA5">
        <w:rPr>
          <w:b/>
        </w:rPr>
        <w:t xml:space="preserve"> against background of austerity</w:t>
      </w:r>
      <w:r w:rsidR="008A1141">
        <w:rPr>
          <w:b/>
        </w:rPr>
        <w:t>: an ‘enabling’ Council</w:t>
      </w:r>
    </w:p>
    <w:p w14:paraId="1B45756C" w14:textId="77777777" w:rsidR="009F50F1" w:rsidRDefault="003D523F" w:rsidP="009F50F1">
      <w:pPr>
        <w:spacing w:after="0" w:line="240" w:lineRule="auto"/>
      </w:pPr>
      <w:r>
        <w:t xml:space="preserve">In response to ever-tightening budgets, Kingston Council has set a vision </w:t>
      </w:r>
      <w:r w:rsidR="003D3B05">
        <w:t xml:space="preserve">to </w:t>
      </w:r>
      <w:r>
        <w:t xml:space="preserve">be an ‘enabling council’ that will increasingly rely on outside organisations to deliver services.  </w:t>
      </w:r>
      <w:r w:rsidR="008A1141">
        <w:t xml:space="preserve">As part of this the Council has emphasised its commitment to increasing </w:t>
      </w:r>
      <w:r w:rsidR="009F50F1">
        <w:t xml:space="preserve">the role </w:t>
      </w:r>
      <w:r w:rsidR="00CA558F">
        <w:t xml:space="preserve">of our </w:t>
      </w:r>
      <w:r w:rsidR="009F50F1">
        <w:t xml:space="preserve">VCS </w:t>
      </w:r>
      <w:r w:rsidR="008A1141">
        <w:t>not just in sha</w:t>
      </w:r>
      <w:r w:rsidR="009F50F1">
        <w:t xml:space="preserve">ping and delivering services but in </w:t>
      </w:r>
      <w:r w:rsidR="008A1141">
        <w:t xml:space="preserve">supporting </w:t>
      </w:r>
      <w:r w:rsidR="009F50F1">
        <w:t>the whole fabric of the community</w:t>
      </w:r>
      <w:r w:rsidR="008A1141">
        <w:t xml:space="preserve"> through active engagement and support</w:t>
      </w:r>
      <w:r w:rsidR="009F50F1">
        <w:t>.</w:t>
      </w:r>
    </w:p>
    <w:p w14:paraId="52B65E8A" w14:textId="77777777" w:rsidR="00116FCA" w:rsidRDefault="00116FCA" w:rsidP="009F50F1">
      <w:pPr>
        <w:spacing w:after="0" w:line="240" w:lineRule="auto"/>
      </w:pPr>
    </w:p>
    <w:p w14:paraId="3955B7B7" w14:textId="77777777" w:rsidR="009F50F1" w:rsidRDefault="004E4BBC" w:rsidP="009F50F1">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3014BD44" wp14:editId="26ADB5CB">
                <wp:simplePos x="0" y="0"/>
                <wp:positionH relativeFrom="column">
                  <wp:posOffset>45720</wp:posOffset>
                </wp:positionH>
                <wp:positionV relativeFrom="paragraph">
                  <wp:posOffset>23495</wp:posOffset>
                </wp:positionV>
                <wp:extent cx="8801100" cy="2400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2400300"/>
                        </a:xfrm>
                        <a:prstGeom prst="rect">
                          <a:avLst/>
                        </a:prstGeom>
                        <a:solidFill>
                          <a:srgbClr val="FFFFFF"/>
                        </a:solidFill>
                        <a:ln w="9525">
                          <a:solidFill>
                            <a:srgbClr val="000000"/>
                          </a:solidFill>
                          <a:miter lim="800000"/>
                          <a:headEnd/>
                          <a:tailEnd/>
                        </a:ln>
                      </wps:spPr>
                      <wps:txbx>
                        <w:txbxContent>
                          <w:p w14:paraId="0AA600E8" w14:textId="77777777" w:rsidR="004E4BBC" w:rsidRDefault="004E4BBC" w:rsidP="00023C4C">
                            <w:pPr>
                              <w:shd w:val="clear" w:color="auto" w:fill="D9D9D9" w:themeFill="background1" w:themeFillShade="D9"/>
                              <w:spacing w:after="0" w:line="240" w:lineRule="auto"/>
                            </w:pPr>
                            <w:r w:rsidRPr="00116FCA">
                              <w:rPr>
                                <w:color w:val="FF33CC"/>
                                <w:sz w:val="36"/>
                                <w:szCs w:val="36"/>
                              </w:rPr>
                              <w:t>3.3</w:t>
                            </w:r>
                            <w:r w:rsidRPr="00116FCA">
                              <w:rPr>
                                <w:color w:val="FF33CC"/>
                              </w:rPr>
                              <w:t xml:space="preserve"> </w:t>
                            </w:r>
                            <w:r w:rsidRPr="00116FCA">
                              <w:rPr>
                                <w:color w:val="FF33CC"/>
                                <w:sz w:val="32"/>
                                <w:szCs w:val="32"/>
                              </w:rPr>
                              <w:t xml:space="preserve">Challenges </w:t>
                            </w:r>
                            <w:r>
                              <w:t>that the Strategy has to address include:</w:t>
                            </w:r>
                          </w:p>
                          <w:p w14:paraId="1D7D780F" w14:textId="77777777" w:rsidR="004E4BBC" w:rsidRDefault="004E4BBC" w:rsidP="00023C4C">
                            <w:pPr>
                              <w:shd w:val="clear" w:color="auto" w:fill="D9D9D9" w:themeFill="background1" w:themeFillShade="D9"/>
                              <w:spacing w:after="0" w:line="240" w:lineRule="auto"/>
                            </w:pPr>
                          </w:p>
                          <w:p w14:paraId="71739EA1" w14:textId="77777777" w:rsidR="004E4BBC" w:rsidRDefault="00CA558F" w:rsidP="00023C4C">
                            <w:pPr>
                              <w:shd w:val="clear" w:color="auto" w:fill="D9D9D9" w:themeFill="background1" w:themeFillShade="D9"/>
                              <w:spacing w:after="0" w:line="240" w:lineRule="auto"/>
                            </w:pPr>
                            <w:r>
                              <w:t>3.31 how to ensure that our</w:t>
                            </w:r>
                            <w:r w:rsidR="004E4BBC">
                              <w:t xml:space="preserve"> VCS remains robust and sustainable – in the face of governance challenges, financial challenges, management and direction challenges</w:t>
                            </w:r>
                          </w:p>
                          <w:p w14:paraId="7B9975C1" w14:textId="77777777" w:rsidR="004E4BBC" w:rsidRDefault="004E4BBC" w:rsidP="00023C4C">
                            <w:pPr>
                              <w:shd w:val="clear" w:color="auto" w:fill="D9D9D9" w:themeFill="background1" w:themeFillShade="D9"/>
                              <w:spacing w:after="0" w:line="240" w:lineRule="auto"/>
                            </w:pPr>
                            <w:r>
                              <w:t xml:space="preserve"> </w:t>
                            </w:r>
                          </w:p>
                          <w:p w14:paraId="49476346" w14:textId="77777777" w:rsidR="004E4BBC" w:rsidRDefault="004E4BBC" w:rsidP="00023C4C">
                            <w:pPr>
                              <w:shd w:val="clear" w:color="auto" w:fill="D9D9D9" w:themeFill="background1" w:themeFillShade="D9"/>
                              <w:spacing w:after="0" w:line="240" w:lineRule="auto"/>
                            </w:pPr>
                            <w:r>
                              <w:t xml:space="preserve">3.32 </w:t>
                            </w:r>
                            <w:r w:rsidR="00647F2C">
                              <w:t xml:space="preserve">the </w:t>
                            </w:r>
                            <w:r>
                              <w:t>reduction in funding available generally</w:t>
                            </w:r>
                            <w:r w:rsidR="00647F2C">
                              <w:t xml:space="preserve"> (</w:t>
                            </w:r>
                            <w:r w:rsidR="00C823B3">
                              <w:t>e.g.</w:t>
                            </w:r>
                            <w:r w:rsidR="00647F2C">
                              <w:t xml:space="preserve"> external funders such as the </w:t>
                            </w:r>
                            <w:r w:rsidR="003C2DFE">
                              <w:t>Big</w:t>
                            </w:r>
                            <w:r w:rsidR="00647F2C">
                              <w:t xml:space="preserve"> Lottery)</w:t>
                            </w:r>
                            <w:r>
                              <w:t xml:space="preserve"> and the emphasis on reducing any duplication (which may challenge organisations that have grown up to represent particular communities)</w:t>
                            </w:r>
                          </w:p>
                          <w:p w14:paraId="52B85F80" w14:textId="77777777" w:rsidR="004E4BBC" w:rsidRDefault="004E4BBC" w:rsidP="00023C4C">
                            <w:pPr>
                              <w:shd w:val="clear" w:color="auto" w:fill="D9D9D9" w:themeFill="background1" w:themeFillShade="D9"/>
                              <w:spacing w:after="0" w:line="240" w:lineRule="auto"/>
                            </w:pPr>
                          </w:p>
                          <w:p w14:paraId="0634A0FF" w14:textId="77777777" w:rsidR="004E4BBC" w:rsidRDefault="004E4BBC" w:rsidP="00023C4C">
                            <w:pPr>
                              <w:shd w:val="clear" w:color="auto" w:fill="D9D9D9" w:themeFill="background1" w:themeFillShade="D9"/>
                              <w:spacing w:after="0" w:line="240" w:lineRule="auto"/>
                            </w:pPr>
                            <w:r>
                              <w:t>3.33 how to identify</w:t>
                            </w:r>
                            <w:r w:rsidR="003C2DFE">
                              <w:t xml:space="preserve"> the </w:t>
                            </w:r>
                            <w:r>
                              <w:t xml:space="preserve">value (and pay for) early intervention and prevention activities (a key strength of </w:t>
                            </w:r>
                            <w:r w:rsidR="00CA558F">
                              <w:t>our</w:t>
                            </w:r>
                            <w:r>
                              <w:t xml:space="preserve"> VCS) that may have a delayed pay-off to the wider society</w:t>
                            </w:r>
                          </w:p>
                          <w:p w14:paraId="2C1114E7" w14:textId="77777777" w:rsidR="004E4BBC" w:rsidRDefault="004E4BBC" w:rsidP="00023C4C">
                            <w:pPr>
                              <w:shd w:val="clear" w:color="auto" w:fill="D9D9D9" w:themeFill="background1" w:themeFillShade="D9"/>
                              <w:spacing w:after="0" w:line="240" w:lineRule="auto"/>
                            </w:pPr>
                          </w:p>
                          <w:p w14:paraId="265BB996" w14:textId="77777777" w:rsidR="004E4BBC" w:rsidRDefault="004E4BBC" w:rsidP="00023C4C">
                            <w:pPr>
                              <w:shd w:val="clear" w:color="auto" w:fill="D9D9D9" w:themeFill="background1" w:themeFillShade="D9"/>
                              <w:spacing w:after="0" w:line="240" w:lineRule="auto"/>
                            </w:pPr>
                            <w:r>
                              <w:t>3.34 maintaining and supporting partnership working</w:t>
                            </w:r>
                          </w:p>
                          <w:p w14:paraId="27EB76E7" w14:textId="77777777" w:rsidR="004E4BBC" w:rsidRDefault="004E4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EF0B" id="_x0000_t202" coordsize="21600,21600" o:spt="202" path="m,l,21600r21600,l21600,xe">
                <v:stroke joinstyle="miter"/>
                <v:path gradientshapeok="t" o:connecttype="rect"/>
              </v:shapetype>
              <v:shape id="Text Box 2" o:spid="_x0000_s1026" type="#_x0000_t202" style="position:absolute;margin-left:3.6pt;margin-top:1.85pt;width:693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TIg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">
                <v:textbox>
                  <w:txbxContent>
                    <w:p w:rsidR="004E4BBC" w:rsidRDefault="004E4BBC" w:rsidP="00023C4C">
                      <w:pPr>
                        <w:shd w:val="clear" w:color="auto" w:fill="D9D9D9" w:themeFill="background1" w:themeFillShade="D9"/>
                        <w:spacing w:after="0" w:line="240" w:lineRule="auto"/>
                      </w:pPr>
                      <w:r w:rsidRPr="00116FCA">
                        <w:rPr>
                          <w:color w:val="FF33CC"/>
                          <w:sz w:val="36"/>
                          <w:szCs w:val="36"/>
                        </w:rPr>
                        <w:t>3.3</w:t>
                      </w:r>
                      <w:r w:rsidRPr="00116FCA">
                        <w:rPr>
                          <w:color w:val="FF33CC"/>
                        </w:rPr>
                        <w:t xml:space="preserve"> </w:t>
                      </w:r>
                      <w:r w:rsidRPr="00116FCA">
                        <w:rPr>
                          <w:color w:val="FF33CC"/>
                          <w:sz w:val="32"/>
                          <w:szCs w:val="32"/>
                        </w:rPr>
                        <w:t xml:space="preserve">Challenges </w:t>
                      </w:r>
                      <w:r>
                        <w:t>that the Strategy has to address include:</w:t>
                      </w:r>
                    </w:p>
                    <w:p w:rsidR="004E4BBC" w:rsidRDefault="004E4BBC" w:rsidP="00023C4C">
                      <w:pPr>
                        <w:shd w:val="clear" w:color="auto" w:fill="D9D9D9" w:themeFill="background1" w:themeFillShade="D9"/>
                        <w:spacing w:after="0" w:line="240" w:lineRule="auto"/>
                      </w:pPr>
                    </w:p>
                    <w:p w:rsidR="004E4BBC" w:rsidRDefault="00CA558F" w:rsidP="00023C4C">
                      <w:pPr>
                        <w:shd w:val="clear" w:color="auto" w:fill="D9D9D9" w:themeFill="background1" w:themeFillShade="D9"/>
                        <w:spacing w:after="0" w:line="240" w:lineRule="auto"/>
                      </w:pPr>
                      <w:r>
                        <w:t>3.31 how to ensure that our</w:t>
                      </w:r>
                      <w:r w:rsidR="004E4BBC">
                        <w:t xml:space="preserve"> VCS remains robust and sustainable – in the face of governance challenges, financial challenges, management and direction challenges</w:t>
                      </w:r>
                    </w:p>
                    <w:p w:rsidR="004E4BBC" w:rsidRDefault="004E4BBC" w:rsidP="00023C4C">
                      <w:pPr>
                        <w:shd w:val="clear" w:color="auto" w:fill="D9D9D9" w:themeFill="background1" w:themeFillShade="D9"/>
                        <w:spacing w:after="0" w:line="240" w:lineRule="auto"/>
                      </w:pPr>
                      <w:r>
                        <w:t xml:space="preserve"> </w:t>
                      </w:r>
                    </w:p>
                    <w:p w:rsidR="004E4BBC" w:rsidRDefault="004E4BBC" w:rsidP="00023C4C">
                      <w:pPr>
                        <w:shd w:val="clear" w:color="auto" w:fill="D9D9D9" w:themeFill="background1" w:themeFillShade="D9"/>
                        <w:spacing w:after="0" w:line="240" w:lineRule="auto"/>
                      </w:pPr>
                      <w:r>
                        <w:t xml:space="preserve">3.32 </w:t>
                      </w:r>
                      <w:r w:rsidR="00647F2C">
                        <w:t xml:space="preserve">the </w:t>
                      </w:r>
                      <w:r>
                        <w:t>reduction in funding available generally</w:t>
                      </w:r>
                      <w:r w:rsidR="00647F2C">
                        <w:t xml:space="preserve"> (</w:t>
                      </w:r>
                      <w:r w:rsidR="00C823B3">
                        <w:t>e.g.</w:t>
                      </w:r>
                      <w:r w:rsidR="00647F2C">
                        <w:t xml:space="preserve"> external funders such as the </w:t>
                      </w:r>
                      <w:r w:rsidR="003C2DFE">
                        <w:t>Big</w:t>
                      </w:r>
                      <w:r w:rsidR="00647F2C">
                        <w:t xml:space="preserve"> Lottery)</w:t>
                      </w:r>
                      <w:r>
                        <w:t xml:space="preserve"> and the emphasis on reducing any duplication (which may challenge organisations that have grown up to represent particular communities)</w:t>
                      </w:r>
                    </w:p>
                    <w:p w:rsidR="004E4BBC" w:rsidRDefault="004E4BBC" w:rsidP="00023C4C">
                      <w:pPr>
                        <w:shd w:val="clear" w:color="auto" w:fill="D9D9D9" w:themeFill="background1" w:themeFillShade="D9"/>
                        <w:spacing w:after="0" w:line="240" w:lineRule="auto"/>
                      </w:pPr>
                    </w:p>
                    <w:p w:rsidR="004E4BBC" w:rsidRDefault="004E4BBC" w:rsidP="00023C4C">
                      <w:pPr>
                        <w:shd w:val="clear" w:color="auto" w:fill="D9D9D9" w:themeFill="background1" w:themeFillShade="D9"/>
                        <w:spacing w:after="0" w:line="240" w:lineRule="auto"/>
                      </w:pPr>
                      <w:r>
                        <w:t>3.33 how to identify</w:t>
                      </w:r>
                      <w:r w:rsidR="003C2DFE">
                        <w:t xml:space="preserve"> the </w:t>
                      </w:r>
                      <w:r>
                        <w:t xml:space="preserve">value (and pay for) early intervention and prevention activities (a key strength of </w:t>
                      </w:r>
                      <w:r w:rsidR="00CA558F">
                        <w:t>our</w:t>
                      </w:r>
                      <w:r>
                        <w:t xml:space="preserve"> VCS) that may have a delayed pay-off to the wider society</w:t>
                      </w:r>
                    </w:p>
                    <w:p w:rsidR="004E4BBC" w:rsidRDefault="004E4BBC" w:rsidP="00023C4C">
                      <w:pPr>
                        <w:shd w:val="clear" w:color="auto" w:fill="D9D9D9" w:themeFill="background1" w:themeFillShade="D9"/>
                        <w:spacing w:after="0" w:line="240" w:lineRule="auto"/>
                      </w:pPr>
                    </w:p>
                    <w:p w:rsidR="004E4BBC" w:rsidRDefault="004E4BBC" w:rsidP="00023C4C">
                      <w:pPr>
                        <w:shd w:val="clear" w:color="auto" w:fill="D9D9D9" w:themeFill="background1" w:themeFillShade="D9"/>
                        <w:spacing w:after="0" w:line="240" w:lineRule="auto"/>
                      </w:pPr>
                      <w:r>
                        <w:t>3.34 maintaining and supporting partnership working</w:t>
                      </w:r>
                    </w:p>
                    <w:p w:rsidR="004E4BBC" w:rsidRDefault="004E4BBC"/>
                  </w:txbxContent>
                </v:textbox>
              </v:shape>
            </w:pict>
          </mc:Fallback>
        </mc:AlternateContent>
      </w:r>
    </w:p>
    <w:p w14:paraId="2875AA51" w14:textId="77777777" w:rsidR="004E4BBC" w:rsidRDefault="004E4BBC" w:rsidP="009F50F1">
      <w:pPr>
        <w:spacing w:after="0" w:line="240" w:lineRule="auto"/>
      </w:pPr>
    </w:p>
    <w:p w14:paraId="4513C02A" w14:textId="77777777" w:rsidR="004E4BBC" w:rsidRDefault="004E4BBC" w:rsidP="009F50F1">
      <w:pPr>
        <w:spacing w:after="0" w:line="240" w:lineRule="auto"/>
      </w:pPr>
    </w:p>
    <w:p w14:paraId="21BFE3D3" w14:textId="77777777" w:rsidR="004E4BBC" w:rsidRDefault="004E4BBC" w:rsidP="009F50F1">
      <w:pPr>
        <w:spacing w:after="0" w:line="240" w:lineRule="auto"/>
      </w:pPr>
    </w:p>
    <w:p w14:paraId="5993E3F4" w14:textId="77777777" w:rsidR="004E4BBC" w:rsidRDefault="004E4BBC" w:rsidP="009F50F1">
      <w:pPr>
        <w:spacing w:after="0" w:line="240" w:lineRule="auto"/>
      </w:pPr>
    </w:p>
    <w:p w14:paraId="199CDA5D" w14:textId="77777777" w:rsidR="004E4BBC" w:rsidRDefault="004E4BBC" w:rsidP="009F50F1">
      <w:pPr>
        <w:spacing w:after="0" w:line="240" w:lineRule="auto"/>
      </w:pPr>
    </w:p>
    <w:p w14:paraId="3171E9A5" w14:textId="77777777" w:rsidR="004E4BBC" w:rsidRDefault="004E4BBC" w:rsidP="009F50F1">
      <w:pPr>
        <w:spacing w:after="0" w:line="240" w:lineRule="auto"/>
      </w:pPr>
    </w:p>
    <w:p w14:paraId="7A1D19D5" w14:textId="77777777" w:rsidR="006C7DA5" w:rsidRDefault="006C7DA5" w:rsidP="00FC7C98">
      <w:pPr>
        <w:spacing w:after="0" w:line="240" w:lineRule="auto"/>
      </w:pPr>
    </w:p>
    <w:p w14:paraId="4974F7BD" w14:textId="77777777" w:rsidR="004E4BBC" w:rsidRDefault="004E4BBC" w:rsidP="00A458F2">
      <w:pPr>
        <w:spacing w:after="0" w:line="240" w:lineRule="auto"/>
        <w:rPr>
          <w:b/>
        </w:rPr>
      </w:pPr>
    </w:p>
    <w:p w14:paraId="2750F523" w14:textId="77777777" w:rsidR="004E4BBC" w:rsidRDefault="004E4BBC" w:rsidP="00A458F2">
      <w:pPr>
        <w:spacing w:after="0" w:line="240" w:lineRule="auto"/>
        <w:rPr>
          <w:b/>
        </w:rPr>
      </w:pPr>
    </w:p>
    <w:p w14:paraId="67D913A2" w14:textId="77777777" w:rsidR="004E4BBC" w:rsidRDefault="004E4BBC" w:rsidP="00A458F2">
      <w:pPr>
        <w:spacing w:after="0" w:line="240" w:lineRule="auto"/>
        <w:rPr>
          <w:b/>
        </w:rPr>
      </w:pPr>
    </w:p>
    <w:p w14:paraId="0DD3187A" w14:textId="77777777" w:rsidR="004E4BBC" w:rsidRDefault="004E4BBC" w:rsidP="00A458F2">
      <w:pPr>
        <w:spacing w:after="0" w:line="240" w:lineRule="auto"/>
        <w:rPr>
          <w:b/>
        </w:rPr>
      </w:pPr>
    </w:p>
    <w:p w14:paraId="765EC600" w14:textId="77777777" w:rsidR="003C2DFE" w:rsidRDefault="003C2DFE" w:rsidP="00A458F2">
      <w:pPr>
        <w:spacing w:after="0" w:line="240" w:lineRule="auto"/>
        <w:rPr>
          <w:b/>
          <w:color w:val="FF33CC"/>
          <w:sz w:val="32"/>
          <w:szCs w:val="32"/>
        </w:rPr>
      </w:pPr>
    </w:p>
    <w:p w14:paraId="2CDEEB5B" w14:textId="77777777" w:rsidR="003C2DFE" w:rsidRDefault="003C2DFE" w:rsidP="00A458F2">
      <w:pPr>
        <w:spacing w:after="0" w:line="240" w:lineRule="auto"/>
        <w:rPr>
          <w:b/>
          <w:color w:val="FF33CC"/>
          <w:sz w:val="32"/>
          <w:szCs w:val="32"/>
        </w:rPr>
      </w:pPr>
    </w:p>
    <w:p w14:paraId="7EF7D78C" w14:textId="77777777" w:rsidR="003C2DFE" w:rsidRDefault="003C2DFE" w:rsidP="00A458F2">
      <w:pPr>
        <w:spacing w:after="0" w:line="240" w:lineRule="auto"/>
        <w:rPr>
          <w:b/>
          <w:color w:val="FF33CC"/>
          <w:sz w:val="32"/>
          <w:szCs w:val="32"/>
        </w:rPr>
      </w:pPr>
    </w:p>
    <w:p w14:paraId="05151FBB" w14:textId="77777777" w:rsidR="00A458F2" w:rsidRPr="00116FCA" w:rsidRDefault="001F47FA" w:rsidP="00A458F2">
      <w:pPr>
        <w:spacing w:after="0" w:line="240" w:lineRule="auto"/>
        <w:rPr>
          <w:b/>
          <w:color w:val="FF33CC"/>
          <w:sz w:val="32"/>
          <w:szCs w:val="32"/>
        </w:rPr>
      </w:pPr>
      <w:r w:rsidRPr="00116FCA">
        <w:rPr>
          <w:b/>
          <w:color w:val="FF33CC"/>
          <w:sz w:val="32"/>
          <w:szCs w:val="32"/>
        </w:rPr>
        <w:lastRenderedPageBreak/>
        <w:t xml:space="preserve">4. </w:t>
      </w:r>
      <w:r w:rsidR="00CD7064" w:rsidRPr="00116FCA">
        <w:rPr>
          <w:b/>
          <w:color w:val="FF33CC"/>
          <w:sz w:val="32"/>
          <w:szCs w:val="32"/>
        </w:rPr>
        <w:t>Local i</w:t>
      </w:r>
      <w:r w:rsidR="00DF1724">
        <w:rPr>
          <w:b/>
          <w:color w:val="FF33CC"/>
          <w:sz w:val="32"/>
          <w:szCs w:val="32"/>
        </w:rPr>
        <w:t>nvestment in our</w:t>
      </w:r>
      <w:r w:rsidR="00A458F2" w:rsidRPr="00116FCA">
        <w:rPr>
          <w:b/>
          <w:color w:val="FF33CC"/>
          <w:sz w:val="32"/>
          <w:szCs w:val="32"/>
        </w:rPr>
        <w:t xml:space="preserve"> VCS is changing</w:t>
      </w:r>
    </w:p>
    <w:p w14:paraId="166F04CE" w14:textId="77777777" w:rsidR="001F47FA" w:rsidRDefault="001F47FA" w:rsidP="00A458F2">
      <w:pPr>
        <w:spacing w:after="0" w:line="240" w:lineRule="auto"/>
        <w:rPr>
          <w:b/>
        </w:rPr>
      </w:pPr>
    </w:p>
    <w:p w14:paraId="3C180B55" w14:textId="77777777" w:rsidR="00632D76" w:rsidRDefault="001F47FA" w:rsidP="00A458F2">
      <w:pPr>
        <w:spacing w:after="0" w:line="240" w:lineRule="auto"/>
      </w:pPr>
      <w:r>
        <w:t xml:space="preserve">4.1 </w:t>
      </w:r>
      <w:r w:rsidR="0010715B">
        <w:t>Kingston has changed its approach to grant funding</w:t>
      </w:r>
      <w:r w:rsidR="002D2F12">
        <w:t xml:space="preserve"> since the Voluntary and Community Sector Strategy was first developed</w:t>
      </w:r>
      <w:r w:rsidR="0010715B">
        <w:t xml:space="preserve">.  The </w:t>
      </w:r>
      <w:r w:rsidR="00A458F2">
        <w:t xml:space="preserve">Corporate </w:t>
      </w:r>
      <w:r w:rsidR="0010715B">
        <w:t>G</w:t>
      </w:r>
      <w:r w:rsidR="00A458F2">
        <w:t xml:space="preserve">rants </w:t>
      </w:r>
      <w:r w:rsidR="0010715B">
        <w:t>P</w:t>
      </w:r>
      <w:r w:rsidR="00A458F2">
        <w:t xml:space="preserve">rogramme </w:t>
      </w:r>
      <w:r w:rsidR="0010715B">
        <w:t>has been closed and the budget moved to a commissioning approach</w:t>
      </w:r>
      <w:r w:rsidR="002D2F12">
        <w:t xml:space="preserve"> (existing grants are being honoured)</w:t>
      </w:r>
      <w:r w:rsidR="0010715B">
        <w:t xml:space="preserve">. </w:t>
      </w:r>
      <w:r w:rsidR="00DC5291">
        <w:t xml:space="preserve"> </w:t>
      </w:r>
      <w:r w:rsidR="0010715B">
        <w:t xml:space="preserve">Annual grants have been retained to support </w:t>
      </w:r>
      <w:r w:rsidR="00632D76">
        <w:t>new co</w:t>
      </w:r>
      <w:r w:rsidR="0010715B">
        <w:t xml:space="preserve">mmunity initiatives, although these do not allow for any repeat funding. </w:t>
      </w:r>
    </w:p>
    <w:p w14:paraId="01779413" w14:textId="77777777" w:rsidR="00DC5291" w:rsidRDefault="004E4BBC" w:rsidP="00A458F2">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7123E949" wp14:editId="09B98CBC">
                <wp:simplePos x="0" y="0"/>
                <wp:positionH relativeFrom="column">
                  <wp:posOffset>45720</wp:posOffset>
                </wp:positionH>
                <wp:positionV relativeFrom="paragraph">
                  <wp:posOffset>73660</wp:posOffset>
                </wp:positionV>
                <wp:extent cx="8778240" cy="2084705"/>
                <wp:effectExtent l="0" t="0" r="228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0" cy="2084705"/>
                        </a:xfrm>
                        <a:prstGeom prst="rect">
                          <a:avLst/>
                        </a:prstGeom>
                        <a:solidFill>
                          <a:srgbClr val="FFFFFF"/>
                        </a:solidFill>
                        <a:ln w="9525">
                          <a:solidFill>
                            <a:srgbClr val="000000"/>
                          </a:solidFill>
                          <a:miter lim="800000"/>
                          <a:headEnd/>
                          <a:tailEnd/>
                        </a:ln>
                      </wps:spPr>
                      <wps:txbx>
                        <w:txbxContent>
                          <w:p w14:paraId="39E86082" w14:textId="77777777" w:rsidR="004E4BBC" w:rsidRDefault="004E4BBC" w:rsidP="00023C4C">
                            <w:pPr>
                              <w:shd w:val="clear" w:color="auto" w:fill="D9D9D9" w:themeFill="background1" w:themeFillShade="D9"/>
                              <w:spacing w:after="0" w:line="240" w:lineRule="auto"/>
                            </w:pPr>
                            <w:r w:rsidRPr="00116FCA">
                              <w:rPr>
                                <w:color w:val="FF33CC"/>
                                <w:sz w:val="36"/>
                                <w:szCs w:val="36"/>
                              </w:rPr>
                              <w:t>4.2</w:t>
                            </w:r>
                            <w:r w:rsidRPr="00116FCA">
                              <w:rPr>
                                <w:color w:val="FF33CC"/>
                              </w:rPr>
                              <w:t xml:space="preserve"> </w:t>
                            </w:r>
                            <w:r w:rsidRPr="00116FCA">
                              <w:rPr>
                                <w:color w:val="FF33CC"/>
                                <w:sz w:val="32"/>
                                <w:szCs w:val="32"/>
                              </w:rPr>
                              <w:t xml:space="preserve">Challenges </w:t>
                            </w:r>
                            <w:r>
                              <w:t>of these changes for the Strategy include:</w:t>
                            </w:r>
                          </w:p>
                          <w:p w14:paraId="22CB4062" w14:textId="77777777" w:rsidR="004E4BBC" w:rsidRDefault="004E4BBC" w:rsidP="00023C4C">
                            <w:pPr>
                              <w:shd w:val="clear" w:color="auto" w:fill="D9D9D9" w:themeFill="background1" w:themeFillShade="D9"/>
                              <w:spacing w:after="0" w:line="240" w:lineRule="auto"/>
                            </w:pPr>
                          </w:p>
                          <w:p w14:paraId="6A71AB51" w14:textId="77777777" w:rsidR="004E4BBC" w:rsidRDefault="004E4BBC" w:rsidP="00023C4C">
                            <w:pPr>
                              <w:shd w:val="clear" w:color="auto" w:fill="D9D9D9" w:themeFill="background1" w:themeFillShade="D9"/>
                              <w:spacing w:after="0" w:line="240" w:lineRule="auto"/>
                            </w:pPr>
                            <w:r>
                              <w:t>4.21 the potential loss or reduction of core funding, making it difficult for organisations to develop their services and build up reserves/working capital</w:t>
                            </w:r>
                            <w:r w:rsidR="003C2DFE">
                              <w:t>.</w:t>
                            </w:r>
                          </w:p>
                          <w:p w14:paraId="25C639B7" w14:textId="77777777" w:rsidR="004E4BBC" w:rsidRDefault="004E4BBC" w:rsidP="00023C4C">
                            <w:pPr>
                              <w:shd w:val="clear" w:color="auto" w:fill="D9D9D9" w:themeFill="background1" w:themeFillShade="D9"/>
                              <w:spacing w:after="0" w:line="240" w:lineRule="auto"/>
                            </w:pPr>
                          </w:p>
                          <w:p w14:paraId="40A0DB8D" w14:textId="77777777" w:rsidR="004E4BBC" w:rsidRDefault="004E4BBC" w:rsidP="00023C4C">
                            <w:pPr>
                              <w:shd w:val="clear" w:color="auto" w:fill="D9D9D9" w:themeFill="background1" w:themeFillShade="D9"/>
                              <w:spacing w:after="0" w:line="240" w:lineRule="auto"/>
                            </w:pPr>
                            <w:r>
                              <w:t>4.22 VCS still dependent on seeking funding elsewhere – will they have the capacity for this?</w:t>
                            </w:r>
                          </w:p>
                          <w:p w14:paraId="7613814B" w14:textId="77777777" w:rsidR="004E4BBC" w:rsidRDefault="004E4BBC" w:rsidP="00023C4C">
                            <w:pPr>
                              <w:shd w:val="clear" w:color="auto" w:fill="D9D9D9" w:themeFill="background1" w:themeFillShade="D9"/>
                              <w:spacing w:after="0" w:line="240" w:lineRule="auto"/>
                            </w:pPr>
                          </w:p>
                          <w:p w14:paraId="6554089D" w14:textId="77777777" w:rsidR="004E4BBC" w:rsidRDefault="004E4BBC" w:rsidP="00023C4C">
                            <w:pPr>
                              <w:shd w:val="clear" w:color="auto" w:fill="D9D9D9" w:themeFill="background1" w:themeFillShade="D9"/>
                              <w:spacing w:after="0" w:line="240" w:lineRule="auto"/>
                            </w:pPr>
                            <w:r>
                              <w:t>4.23 Changing relationships and potential loss of partnership working</w:t>
                            </w:r>
                            <w:r w:rsidR="003C2DFE">
                              <w:t>.</w:t>
                            </w:r>
                            <w:r>
                              <w:t xml:space="preserve"> </w:t>
                            </w:r>
                          </w:p>
                          <w:p w14:paraId="63DB5E4D" w14:textId="77777777" w:rsidR="004E4BBC" w:rsidRDefault="004E4BBC" w:rsidP="00023C4C">
                            <w:pPr>
                              <w:shd w:val="clear" w:color="auto" w:fill="D9D9D9" w:themeFill="background1" w:themeFillShade="D9"/>
                              <w:spacing w:after="0" w:line="240" w:lineRule="auto"/>
                            </w:pPr>
                          </w:p>
                          <w:p w14:paraId="71BDA60F" w14:textId="77777777" w:rsidR="004E4BBC" w:rsidRDefault="004E4BBC" w:rsidP="00023C4C">
                            <w:pPr>
                              <w:shd w:val="clear" w:color="auto" w:fill="D9D9D9" w:themeFill="background1" w:themeFillShade="D9"/>
                              <w:spacing w:after="0" w:line="240" w:lineRule="auto"/>
                            </w:pPr>
                            <w:r>
                              <w:t>4.25 Smaller community organisations (often consisting of only volunteers) may find it difficult to survive</w:t>
                            </w:r>
                            <w:r w:rsidR="003C2DFE">
                              <w:t xml:space="preserve"> and engage in the new process.</w:t>
                            </w:r>
                          </w:p>
                          <w:p w14:paraId="1398717B" w14:textId="77777777" w:rsidR="004E4BBC" w:rsidRDefault="004E4BBC" w:rsidP="00023C4C">
                            <w:pPr>
                              <w:shd w:val="clear" w:color="auto" w:fill="D9D9D9" w:themeFill="background1" w:themeFillShade="D9"/>
                              <w:spacing w:after="0" w:line="240" w:lineRule="auto"/>
                            </w:pPr>
                          </w:p>
                          <w:p w14:paraId="5A46420A" w14:textId="77777777" w:rsidR="004E4BBC" w:rsidRDefault="004E4BBC" w:rsidP="00023C4C">
                            <w:pPr>
                              <w:shd w:val="clear" w:color="auto" w:fill="D9D9D9" w:themeFill="background1" w:themeFillShade="D9"/>
                              <w:spacing w:after="0" w:line="240" w:lineRule="auto"/>
                            </w:pPr>
                            <w:r>
                              <w:t>4.26 How support for infrastructure capacity building (staff, volunteers and organisations) can be retained and focused.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E949" id="_x0000_t202" coordsize="21600,21600" o:spt="202" path="m0,0l0,21600,21600,21600,21600,0xe">
                <v:stroke joinstyle="miter"/>
                <v:path gradientshapeok="t" o:connecttype="rect"/>
              </v:shapetype>
              <v:shape id="_x0000_s1027" type="#_x0000_t202" style="position:absolute;margin-left:3.6pt;margin-top:5.8pt;width:691.2pt;height:164.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">
                <v:textbox style="mso-fit-shape-to-text:t">
                  <w:txbxContent>
                    <w:p w14:paraId="39E86082" w14:textId="77777777" w:rsidR="004E4BBC" w:rsidRDefault="004E4BBC" w:rsidP="00023C4C">
                      <w:pPr>
                        <w:shd w:val="clear" w:color="auto" w:fill="D9D9D9" w:themeFill="background1" w:themeFillShade="D9"/>
                        <w:spacing w:after="0" w:line="240" w:lineRule="auto"/>
                      </w:pPr>
                      <w:r w:rsidRPr="00116FCA">
                        <w:rPr>
                          <w:color w:val="FF33CC"/>
                          <w:sz w:val="36"/>
                          <w:szCs w:val="36"/>
                        </w:rPr>
                        <w:t>4.2</w:t>
                      </w:r>
                      <w:r w:rsidRPr="00116FCA">
                        <w:rPr>
                          <w:color w:val="FF33CC"/>
                        </w:rPr>
                        <w:t xml:space="preserve"> </w:t>
                      </w:r>
                      <w:r w:rsidRPr="00116FCA">
                        <w:rPr>
                          <w:color w:val="FF33CC"/>
                          <w:sz w:val="32"/>
                          <w:szCs w:val="32"/>
                        </w:rPr>
                        <w:t xml:space="preserve">Challenges </w:t>
                      </w:r>
                      <w:r>
                        <w:t>of these changes for the Strategy include:</w:t>
                      </w:r>
                    </w:p>
                    <w:p w14:paraId="22CB4062" w14:textId="77777777" w:rsidR="004E4BBC" w:rsidRDefault="004E4BBC" w:rsidP="00023C4C">
                      <w:pPr>
                        <w:shd w:val="clear" w:color="auto" w:fill="D9D9D9" w:themeFill="background1" w:themeFillShade="D9"/>
                        <w:spacing w:after="0" w:line="240" w:lineRule="auto"/>
                      </w:pPr>
                    </w:p>
                    <w:p w14:paraId="6A71AB51" w14:textId="77777777" w:rsidR="004E4BBC" w:rsidRDefault="004E4BBC" w:rsidP="00023C4C">
                      <w:pPr>
                        <w:shd w:val="clear" w:color="auto" w:fill="D9D9D9" w:themeFill="background1" w:themeFillShade="D9"/>
                        <w:spacing w:after="0" w:line="240" w:lineRule="auto"/>
                      </w:pPr>
                      <w:r>
                        <w:t>4.21 the potential loss or reduction of core funding, making it difficult for organisations to develop their services and build up reserves/working capital</w:t>
                      </w:r>
                      <w:r w:rsidR="003C2DFE">
                        <w:t>.</w:t>
                      </w:r>
                    </w:p>
                    <w:p w14:paraId="25C639B7" w14:textId="77777777" w:rsidR="004E4BBC" w:rsidRDefault="004E4BBC" w:rsidP="00023C4C">
                      <w:pPr>
                        <w:shd w:val="clear" w:color="auto" w:fill="D9D9D9" w:themeFill="background1" w:themeFillShade="D9"/>
                        <w:spacing w:after="0" w:line="240" w:lineRule="auto"/>
                      </w:pPr>
                    </w:p>
                    <w:p w14:paraId="40A0DB8D" w14:textId="77777777" w:rsidR="004E4BBC" w:rsidRDefault="004E4BBC" w:rsidP="00023C4C">
                      <w:pPr>
                        <w:shd w:val="clear" w:color="auto" w:fill="D9D9D9" w:themeFill="background1" w:themeFillShade="D9"/>
                        <w:spacing w:after="0" w:line="240" w:lineRule="auto"/>
                      </w:pPr>
                      <w:r>
                        <w:t>4.22 VCS still dependent on seeking funding elsewhere – will they have the capacity for this?</w:t>
                      </w:r>
                    </w:p>
                    <w:p w14:paraId="7613814B" w14:textId="77777777" w:rsidR="004E4BBC" w:rsidRDefault="004E4BBC" w:rsidP="00023C4C">
                      <w:pPr>
                        <w:shd w:val="clear" w:color="auto" w:fill="D9D9D9" w:themeFill="background1" w:themeFillShade="D9"/>
                        <w:spacing w:after="0" w:line="240" w:lineRule="auto"/>
                      </w:pPr>
                    </w:p>
                    <w:p w14:paraId="6554089D" w14:textId="77777777" w:rsidR="004E4BBC" w:rsidRDefault="004E4BBC" w:rsidP="00023C4C">
                      <w:pPr>
                        <w:shd w:val="clear" w:color="auto" w:fill="D9D9D9" w:themeFill="background1" w:themeFillShade="D9"/>
                        <w:spacing w:after="0" w:line="240" w:lineRule="auto"/>
                      </w:pPr>
                      <w:r>
                        <w:t>4.23 Changing relationships and potential loss of partnership working</w:t>
                      </w:r>
                      <w:r w:rsidR="003C2DFE">
                        <w:t>.</w:t>
                      </w:r>
                      <w:r>
                        <w:t xml:space="preserve"> </w:t>
                      </w:r>
                    </w:p>
                    <w:p w14:paraId="63DB5E4D" w14:textId="77777777" w:rsidR="004E4BBC" w:rsidRDefault="004E4BBC" w:rsidP="00023C4C">
                      <w:pPr>
                        <w:shd w:val="clear" w:color="auto" w:fill="D9D9D9" w:themeFill="background1" w:themeFillShade="D9"/>
                        <w:spacing w:after="0" w:line="240" w:lineRule="auto"/>
                      </w:pPr>
                    </w:p>
                    <w:p w14:paraId="71BDA60F" w14:textId="77777777" w:rsidR="004E4BBC" w:rsidRDefault="004E4BBC" w:rsidP="00023C4C">
                      <w:pPr>
                        <w:shd w:val="clear" w:color="auto" w:fill="D9D9D9" w:themeFill="background1" w:themeFillShade="D9"/>
                        <w:spacing w:after="0" w:line="240" w:lineRule="auto"/>
                      </w:pPr>
                      <w:r>
                        <w:t>4.25 Smaller community organisations (often consisting of only volunteers) may find it difficult to survive</w:t>
                      </w:r>
                      <w:r w:rsidR="003C2DFE">
                        <w:t xml:space="preserve"> and engage in the new process.</w:t>
                      </w:r>
                    </w:p>
                    <w:p w14:paraId="1398717B" w14:textId="77777777" w:rsidR="004E4BBC" w:rsidRDefault="004E4BBC" w:rsidP="00023C4C">
                      <w:pPr>
                        <w:shd w:val="clear" w:color="auto" w:fill="D9D9D9" w:themeFill="background1" w:themeFillShade="D9"/>
                        <w:spacing w:after="0" w:line="240" w:lineRule="auto"/>
                      </w:pPr>
                    </w:p>
                    <w:p w14:paraId="5A46420A" w14:textId="77777777" w:rsidR="004E4BBC" w:rsidRDefault="004E4BBC" w:rsidP="00023C4C">
                      <w:pPr>
                        <w:shd w:val="clear" w:color="auto" w:fill="D9D9D9" w:themeFill="background1" w:themeFillShade="D9"/>
                        <w:spacing w:after="0" w:line="240" w:lineRule="auto"/>
                      </w:pPr>
                      <w:r>
                        <w:t>4.26 How support for infrastructure capacity building (staff, volunteers and organisations) can be retained and focused.</w:t>
                      </w:r>
                    </w:p>
                  </w:txbxContent>
                </v:textbox>
              </v:shape>
            </w:pict>
          </mc:Fallback>
        </mc:AlternateContent>
      </w:r>
    </w:p>
    <w:p w14:paraId="6378485C" w14:textId="77777777" w:rsidR="004E4BBC" w:rsidRDefault="004E4BBC" w:rsidP="00A458F2">
      <w:pPr>
        <w:spacing w:after="0" w:line="240" w:lineRule="auto"/>
      </w:pPr>
    </w:p>
    <w:p w14:paraId="187CD8C0" w14:textId="77777777" w:rsidR="004E4BBC" w:rsidRDefault="004E4BBC" w:rsidP="00A458F2">
      <w:pPr>
        <w:spacing w:after="0" w:line="240" w:lineRule="auto"/>
      </w:pPr>
    </w:p>
    <w:p w14:paraId="08940F33" w14:textId="77777777" w:rsidR="004E4BBC" w:rsidRDefault="004E4BBC" w:rsidP="00A458F2">
      <w:pPr>
        <w:spacing w:after="0" w:line="240" w:lineRule="auto"/>
      </w:pPr>
    </w:p>
    <w:p w14:paraId="3317DC03" w14:textId="77777777" w:rsidR="004E4BBC" w:rsidRDefault="004E4BBC" w:rsidP="00A458F2">
      <w:pPr>
        <w:spacing w:after="0" w:line="240" w:lineRule="auto"/>
      </w:pPr>
    </w:p>
    <w:p w14:paraId="356039AE" w14:textId="77777777" w:rsidR="004E4BBC" w:rsidRDefault="004E4BBC" w:rsidP="00A458F2">
      <w:pPr>
        <w:spacing w:after="0" w:line="240" w:lineRule="auto"/>
      </w:pPr>
    </w:p>
    <w:p w14:paraId="479192D7" w14:textId="77777777" w:rsidR="004E4BBC" w:rsidRDefault="004E4BBC" w:rsidP="00A458F2">
      <w:pPr>
        <w:spacing w:after="0" w:line="240" w:lineRule="auto"/>
      </w:pPr>
    </w:p>
    <w:p w14:paraId="36BB18A6" w14:textId="77777777" w:rsidR="00CD7064" w:rsidRDefault="00CD7064" w:rsidP="00CD7064">
      <w:pPr>
        <w:spacing w:after="0" w:line="240" w:lineRule="auto"/>
      </w:pPr>
    </w:p>
    <w:p w14:paraId="42AD6A47" w14:textId="77777777" w:rsidR="004E4BBC" w:rsidRDefault="004E4BBC" w:rsidP="00CD7064">
      <w:pPr>
        <w:spacing w:after="0" w:line="240" w:lineRule="auto"/>
        <w:rPr>
          <w:b/>
        </w:rPr>
      </w:pPr>
    </w:p>
    <w:p w14:paraId="11D2F4B2" w14:textId="77777777" w:rsidR="004E4BBC" w:rsidRDefault="004E4BBC" w:rsidP="00CD7064">
      <w:pPr>
        <w:spacing w:after="0" w:line="240" w:lineRule="auto"/>
        <w:rPr>
          <w:b/>
        </w:rPr>
      </w:pPr>
    </w:p>
    <w:p w14:paraId="65020E67" w14:textId="77777777" w:rsidR="004E4BBC" w:rsidRDefault="004E4BBC" w:rsidP="00CD7064">
      <w:pPr>
        <w:spacing w:after="0" w:line="240" w:lineRule="auto"/>
        <w:rPr>
          <w:b/>
        </w:rPr>
      </w:pPr>
    </w:p>
    <w:p w14:paraId="1AEF7909" w14:textId="77777777" w:rsidR="004E4BBC" w:rsidRDefault="004E4BBC" w:rsidP="00CD7064">
      <w:pPr>
        <w:spacing w:after="0" w:line="240" w:lineRule="auto"/>
        <w:rPr>
          <w:b/>
        </w:rPr>
      </w:pPr>
    </w:p>
    <w:p w14:paraId="70030C28" w14:textId="77777777" w:rsidR="004E4BBC" w:rsidRDefault="004E4BBC" w:rsidP="00CD7064">
      <w:pPr>
        <w:spacing w:after="0" w:line="240" w:lineRule="auto"/>
        <w:rPr>
          <w:b/>
        </w:rPr>
      </w:pPr>
    </w:p>
    <w:p w14:paraId="3FF65C15" w14:textId="77777777" w:rsidR="004E4BBC" w:rsidRDefault="004E4BBC" w:rsidP="00CD7064">
      <w:pPr>
        <w:spacing w:after="0" w:line="240" w:lineRule="auto"/>
        <w:rPr>
          <w:b/>
        </w:rPr>
      </w:pPr>
    </w:p>
    <w:p w14:paraId="69376DB7" w14:textId="77777777" w:rsidR="004E4BBC" w:rsidRDefault="004E4BBC" w:rsidP="00CD7064">
      <w:pPr>
        <w:spacing w:after="0" w:line="240" w:lineRule="auto"/>
        <w:rPr>
          <w:b/>
        </w:rPr>
      </w:pPr>
    </w:p>
    <w:p w14:paraId="0E78E864" w14:textId="77777777" w:rsidR="004E4BBC" w:rsidRDefault="004E4BBC" w:rsidP="00CD7064">
      <w:pPr>
        <w:spacing w:after="0" w:line="240" w:lineRule="auto"/>
        <w:rPr>
          <w:b/>
        </w:rPr>
      </w:pPr>
    </w:p>
    <w:p w14:paraId="4F77EED0" w14:textId="77777777" w:rsidR="00CD7064" w:rsidRPr="00116FCA" w:rsidRDefault="001F47FA" w:rsidP="00CD7064">
      <w:pPr>
        <w:spacing w:after="0" w:line="240" w:lineRule="auto"/>
        <w:rPr>
          <w:b/>
          <w:color w:val="FF33CC"/>
          <w:sz w:val="32"/>
          <w:szCs w:val="32"/>
        </w:rPr>
      </w:pPr>
      <w:r w:rsidRPr="00116FCA">
        <w:rPr>
          <w:b/>
          <w:color w:val="FF33CC"/>
          <w:sz w:val="32"/>
          <w:szCs w:val="32"/>
        </w:rPr>
        <w:t xml:space="preserve">5. </w:t>
      </w:r>
      <w:r w:rsidR="00CD7064" w:rsidRPr="00116FCA">
        <w:rPr>
          <w:b/>
          <w:color w:val="FF33CC"/>
          <w:sz w:val="32"/>
          <w:szCs w:val="32"/>
        </w:rPr>
        <w:t>Commissioning is now the main approach</w:t>
      </w:r>
    </w:p>
    <w:p w14:paraId="47117B07" w14:textId="77777777" w:rsidR="001F47FA" w:rsidRDefault="001F47FA" w:rsidP="00CD7064">
      <w:pPr>
        <w:spacing w:after="0" w:line="240" w:lineRule="auto"/>
      </w:pPr>
    </w:p>
    <w:p w14:paraId="04A990BE" w14:textId="77777777" w:rsidR="00CD7064" w:rsidRDefault="001F47FA" w:rsidP="00CD7064">
      <w:pPr>
        <w:spacing w:after="0" w:line="240" w:lineRule="auto"/>
      </w:pPr>
      <w:r>
        <w:t xml:space="preserve">5.1 </w:t>
      </w:r>
      <w:r w:rsidR="00CD7064">
        <w:t>The original strategy e</w:t>
      </w:r>
      <w:r w:rsidR="00DF1724">
        <w:t xml:space="preserve">mphasised the importance of our </w:t>
      </w:r>
      <w:r w:rsidR="00CD7064">
        <w:t xml:space="preserve">VCS getting more engaged in the commissioning process and the importance of commissioners increasing their understanding of the role and contribution of </w:t>
      </w:r>
      <w:r w:rsidR="00DF1724">
        <w:t xml:space="preserve">local </w:t>
      </w:r>
      <w:r w:rsidR="00CD7064">
        <w:t xml:space="preserve">VCS organisations. </w:t>
      </w:r>
      <w:r w:rsidR="00927BF5">
        <w:t xml:space="preserve"> Now that this is the main approach, there have been a number of key changes including:</w:t>
      </w:r>
    </w:p>
    <w:p w14:paraId="78226A4A" w14:textId="77777777" w:rsidR="001F47FA" w:rsidRDefault="001F47FA" w:rsidP="00CD7064">
      <w:pPr>
        <w:spacing w:after="0" w:line="240" w:lineRule="auto"/>
      </w:pPr>
    </w:p>
    <w:p w14:paraId="5B548B99" w14:textId="77777777" w:rsidR="00927BF5" w:rsidRDefault="001F47FA" w:rsidP="001F47FA">
      <w:pPr>
        <w:spacing w:after="0" w:line="240" w:lineRule="auto"/>
      </w:pPr>
      <w:r>
        <w:t xml:space="preserve">5.11 </w:t>
      </w:r>
      <w:r w:rsidR="00927BF5">
        <w:t>The development of Outcomes Based Budgeting to identify key outcomes for Kingston’</w:t>
      </w:r>
      <w:r w:rsidR="00886E54">
        <w:t>s residents working across services</w:t>
      </w:r>
      <w:r w:rsidR="00261C31">
        <w:t>.</w:t>
      </w:r>
    </w:p>
    <w:p w14:paraId="557C4A04" w14:textId="77777777" w:rsidR="001F47FA" w:rsidRDefault="001F47FA" w:rsidP="001F47FA">
      <w:pPr>
        <w:spacing w:after="0" w:line="240" w:lineRule="auto"/>
      </w:pPr>
    </w:p>
    <w:p w14:paraId="1C3068B3" w14:textId="77777777" w:rsidR="00927BF5" w:rsidRDefault="001F47FA" w:rsidP="001F47FA">
      <w:pPr>
        <w:spacing w:after="0" w:line="240" w:lineRule="auto"/>
      </w:pPr>
      <w:r>
        <w:t xml:space="preserve">5.12 </w:t>
      </w:r>
      <w:r w:rsidR="00927BF5">
        <w:t>Greater emphasis on joint commissioning</w:t>
      </w:r>
      <w:r w:rsidR="00886E54">
        <w:t xml:space="preserve"> particularly with the </w:t>
      </w:r>
      <w:r w:rsidR="00E55718">
        <w:t xml:space="preserve">Kingston </w:t>
      </w:r>
      <w:r w:rsidR="00886E54">
        <w:t>Clinical Commissioning Group and Public Health</w:t>
      </w:r>
      <w:r w:rsidR="00DF1724">
        <w:t xml:space="preserve">. </w:t>
      </w:r>
    </w:p>
    <w:p w14:paraId="082D6E6D" w14:textId="77777777" w:rsidR="00647F2C" w:rsidRDefault="00647F2C" w:rsidP="001F47FA">
      <w:pPr>
        <w:spacing w:after="0" w:line="240" w:lineRule="auto"/>
      </w:pPr>
    </w:p>
    <w:p w14:paraId="51F20571" w14:textId="77777777" w:rsidR="00886E54" w:rsidRDefault="001F47FA" w:rsidP="001F47FA">
      <w:pPr>
        <w:spacing w:after="0" w:line="240" w:lineRule="auto"/>
      </w:pPr>
      <w:r>
        <w:t xml:space="preserve">5.13 </w:t>
      </w:r>
      <w:r w:rsidR="00886E54">
        <w:t>The development of more arm’s length bodies (such as Achieving for Children and Your Healthcare)</w:t>
      </w:r>
      <w:r w:rsidR="003D3B05">
        <w:t xml:space="preserve"> which is likely to increase</w:t>
      </w:r>
      <w:r w:rsidR="007F24A7">
        <w:t xml:space="preserve"> and we anticipate will include Local Authority Trading Companies (such as operate in </w:t>
      </w:r>
      <w:r w:rsidR="00DF1724">
        <w:t xml:space="preserve">the London Borough of </w:t>
      </w:r>
      <w:r w:rsidR="007F24A7">
        <w:t xml:space="preserve">Sutton) which have </w:t>
      </w:r>
      <w:r w:rsidR="00DF1724">
        <w:t>been recognised as a good model</w:t>
      </w:r>
      <w:r w:rsidR="007F24A7">
        <w:t xml:space="preserve"> and could achieve great things locally if they are co-owned by Community </w:t>
      </w:r>
      <w:r w:rsidR="00DF1724">
        <w:t xml:space="preserve">and Statutory </w:t>
      </w:r>
      <w:r w:rsidR="007F24A7">
        <w:t>agencies.</w:t>
      </w:r>
    </w:p>
    <w:p w14:paraId="4CC7A295" w14:textId="77777777" w:rsidR="001F47FA" w:rsidRDefault="001F47FA" w:rsidP="001F47FA">
      <w:pPr>
        <w:spacing w:after="0" w:line="240" w:lineRule="auto"/>
      </w:pPr>
      <w:r>
        <w:t xml:space="preserve"> </w:t>
      </w:r>
    </w:p>
    <w:p w14:paraId="21B50280" w14:textId="77777777" w:rsidR="009F50F1" w:rsidRDefault="001F47FA" w:rsidP="001F47FA">
      <w:pPr>
        <w:spacing w:after="0" w:line="240" w:lineRule="auto"/>
      </w:pPr>
      <w:r>
        <w:t xml:space="preserve">5.14 </w:t>
      </w:r>
      <w:r w:rsidR="00886E54">
        <w:t xml:space="preserve">The development of a flexible approach to commissioning </w:t>
      </w:r>
      <w:r w:rsidR="00DF1724">
        <w:t>our</w:t>
      </w:r>
      <w:r w:rsidR="00886E54">
        <w:t xml:space="preserve"> VCS including </w:t>
      </w:r>
      <w:r w:rsidR="009F50F1">
        <w:t>competitive tenders but also encouraging collaborative working through direct awards</w:t>
      </w:r>
      <w:r w:rsidR="00E55718">
        <w:t xml:space="preserve"> (for example through the Active and Supp</w:t>
      </w:r>
      <w:r w:rsidR="00647F2C">
        <w:t>ortive Communities Strategy</w:t>
      </w:r>
      <w:r w:rsidR="00E55718">
        <w:t>)</w:t>
      </w:r>
      <w:r w:rsidR="00261C31">
        <w:t>.</w:t>
      </w:r>
    </w:p>
    <w:p w14:paraId="382DB035" w14:textId="77777777" w:rsidR="00E74774" w:rsidRDefault="00E74774" w:rsidP="001F47FA">
      <w:pPr>
        <w:spacing w:after="0" w:line="240" w:lineRule="auto"/>
      </w:pPr>
    </w:p>
    <w:p w14:paraId="4BCDB493" w14:textId="77777777" w:rsidR="00886E54" w:rsidRDefault="004E4BBC" w:rsidP="00886E54">
      <w:pPr>
        <w:pStyle w:val="ListParagraph"/>
        <w:spacing w:after="0" w:line="240" w:lineRule="auto"/>
        <w:ind w:left="360"/>
      </w:pPr>
      <w:r>
        <w:rPr>
          <w:noProof/>
          <w:lang w:eastAsia="en-GB"/>
        </w:rPr>
        <mc:AlternateContent>
          <mc:Choice Requires="wps">
            <w:drawing>
              <wp:anchor distT="0" distB="0" distL="114300" distR="114300" simplePos="0" relativeHeight="251663360" behindDoc="0" locked="0" layoutInCell="1" allowOverlap="1" wp14:anchorId="2E58BB79" wp14:editId="1D1CED1F">
                <wp:simplePos x="0" y="0"/>
                <wp:positionH relativeFrom="column">
                  <wp:align>center</wp:align>
                </wp:positionH>
                <wp:positionV relativeFrom="paragraph">
                  <wp:posOffset>0</wp:posOffset>
                </wp:positionV>
                <wp:extent cx="8621395" cy="3832860"/>
                <wp:effectExtent l="0" t="0" r="273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1395" cy="3832860"/>
                        </a:xfrm>
                        <a:prstGeom prst="rect">
                          <a:avLst/>
                        </a:prstGeom>
                        <a:solidFill>
                          <a:srgbClr val="FFFFFF"/>
                        </a:solidFill>
                        <a:ln w="9525">
                          <a:solidFill>
                            <a:srgbClr val="000000"/>
                          </a:solidFill>
                          <a:miter lim="800000"/>
                          <a:headEnd/>
                          <a:tailEnd/>
                        </a:ln>
                      </wps:spPr>
                      <wps:txbx>
                        <w:txbxContent>
                          <w:p w14:paraId="11A81584" w14:textId="77777777" w:rsidR="004E4BBC" w:rsidRDefault="004E4BBC" w:rsidP="00023C4C">
                            <w:pPr>
                              <w:shd w:val="clear" w:color="auto" w:fill="D9D9D9" w:themeFill="background1" w:themeFillShade="D9"/>
                              <w:spacing w:after="0" w:line="240" w:lineRule="auto"/>
                            </w:pPr>
                            <w:r w:rsidRPr="00116FCA">
                              <w:rPr>
                                <w:color w:val="FF33CC"/>
                                <w:sz w:val="36"/>
                                <w:szCs w:val="36"/>
                              </w:rPr>
                              <w:t>5.2</w:t>
                            </w:r>
                            <w:r w:rsidR="00116FCA" w:rsidRPr="00116FCA">
                              <w:rPr>
                                <w:color w:val="FF33CC"/>
                                <w:sz w:val="36"/>
                                <w:szCs w:val="36"/>
                              </w:rPr>
                              <w:t xml:space="preserve"> </w:t>
                            </w:r>
                            <w:r w:rsidRPr="00116FCA">
                              <w:rPr>
                                <w:color w:val="FF33CC"/>
                                <w:sz w:val="36"/>
                                <w:szCs w:val="36"/>
                              </w:rPr>
                              <w:t xml:space="preserve">Challenges </w:t>
                            </w:r>
                            <w:r>
                              <w:t xml:space="preserve">inherent in this shift to </w:t>
                            </w:r>
                            <w:r w:rsidR="007F24A7">
                              <w:t xml:space="preserve">only </w:t>
                            </w:r>
                            <w:r>
                              <w:t xml:space="preserve">commissioning </w:t>
                            </w:r>
                            <w:r w:rsidR="007F24A7">
                              <w:t>i</w:t>
                            </w:r>
                            <w:r>
                              <w:t>nclude:</w:t>
                            </w:r>
                          </w:p>
                          <w:p w14:paraId="784E227F" w14:textId="77777777" w:rsidR="004E4BBC" w:rsidRDefault="004E4BBC" w:rsidP="00023C4C">
                            <w:pPr>
                              <w:pStyle w:val="ListParagraph"/>
                              <w:shd w:val="clear" w:color="auto" w:fill="D9D9D9" w:themeFill="background1" w:themeFillShade="D9"/>
                              <w:spacing w:after="0" w:line="240" w:lineRule="auto"/>
                              <w:ind w:left="360"/>
                            </w:pPr>
                          </w:p>
                          <w:p w14:paraId="688E4F28" w14:textId="77777777" w:rsidR="004E4BBC" w:rsidRDefault="004E4BBC" w:rsidP="00023C4C">
                            <w:pPr>
                              <w:shd w:val="clear" w:color="auto" w:fill="D9D9D9" w:themeFill="background1" w:themeFillShade="D9"/>
                              <w:spacing w:after="0" w:line="240" w:lineRule="auto"/>
                            </w:pPr>
                            <w:r>
                              <w:t>5.21 The tensions arising between collaboration and competition – both approaches involve complex risk assessments and difficult decisions, with potential repercussions in terms of relationships and the strength of the local community – governance issues can be complex in collaborative working models</w:t>
                            </w:r>
                            <w:r w:rsidR="00261C31">
                              <w:t>.</w:t>
                            </w:r>
                          </w:p>
                          <w:p w14:paraId="367F9676" w14:textId="77777777" w:rsidR="004E4BBC" w:rsidRDefault="004E4BBC" w:rsidP="00023C4C">
                            <w:pPr>
                              <w:shd w:val="clear" w:color="auto" w:fill="D9D9D9" w:themeFill="background1" w:themeFillShade="D9"/>
                              <w:spacing w:after="0" w:line="240" w:lineRule="auto"/>
                            </w:pPr>
                          </w:p>
                          <w:p w14:paraId="57BBFA0B" w14:textId="77777777" w:rsidR="004E4BBC" w:rsidRDefault="004E4BBC" w:rsidP="00023C4C">
                            <w:pPr>
                              <w:shd w:val="clear" w:color="auto" w:fill="D9D9D9" w:themeFill="background1" w:themeFillShade="D9"/>
                              <w:spacing w:after="0" w:line="240" w:lineRule="auto"/>
                            </w:pPr>
                            <w:r>
                              <w:t>5.22 Because of their role and contribution as key partners, VCS organisations are not quite ‘just another provider’ – however the reality is that they will be competing amongst each other and with other (outside) organisations for work (including national and regional charities) and dependent on commissioners developing specifications that will not disadvantage them</w:t>
                            </w:r>
                            <w:r w:rsidR="00261C31">
                              <w:t>.</w:t>
                            </w:r>
                          </w:p>
                          <w:p w14:paraId="61745548" w14:textId="77777777" w:rsidR="004E4BBC" w:rsidRDefault="004E4BBC" w:rsidP="00023C4C">
                            <w:pPr>
                              <w:shd w:val="clear" w:color="auto" w:fill="D9D9D9" w:themeFill="background1" w:themeFillShade="D9"/>
                              <w:spacing w:after="0" w:line="240" w:lineRule="auto"/>
                            </w:pPr>
                          </w:p>
                          <w:p w14:paraId="46F88A77" w14:textId="77777777" w:rsidR="004E4BBC" w:rsidRDefault="004E4BBC" w:rsidP="00023C4C">
                            <w:pPr>
                              <w:shd w:val="clear" w:color="auto" w:fill="D9D9D9" w:themeFill="background1" w:themeFillShade="D9"/>
                              <w:spacing w:after="0" w:line="240" w:lineRule="auto"/>
                            </w:pPr>
                            <w:r>
                              <w:t xml:space="preserve">5.23 More joint commissioning potentially means larger contracts which may not be easy for the VCS to engage in, except as sub-contractors or as named partners </w:t>
                            </w:r>
                            <w:r w:rsidR="003C2DFE">
                              <w:t>which bring a range of complex challenges. T</w:t>
                            </w:r>
                            <w:r>
                              <w:t>here is also the issue of who pays what into the joint pot and which service manages the process and any subsequent contract</w:t>
                            </w:r>
                            <w:r w:rsidR="00261C31">
                              <w:t>.</w:t>
                            </w:r>
                          </w:p>
                          <w:p w14:paraId="47E4D2DE" w14:textId="77777777" w:rsidR="004E4BBC" w:rsidRDefault="004E4BBC" w:rsidP="00023C4C">
                            <w:pPr>
                              <w:shd w:val="clear" w:color="auto" w:fill="D9D9D9" w:themeFill="background1" w:themeFillShade="D9"/>
                              <w:spacing w:after="0" w:line="240" w:lineRule="auto"/>
                            </w:pPr>
                          </w:p>
                          <w:p w14:paraId="307A6E1C" w14:textId="77777777" w:rsidR="004E4BBC" w:rsidRDefault="004E4BBC" w:rsidP="00023C4C">
                            <w:pPr>
                              <w:shd w:val="clear" w:color="auto" w:fill="D9D9D9" w:themeFill="background1" w:themeFillShade="D9"/>
                              <w:spacing w:after="0" w:line="240" w:lineRule="auto"/>
                            </w:pPr>
                            <w:r w:rsidRPr="00292A8A">
                              <w:t>5.24 The VCS may still have to respond to a range of commissioners and/or individual commissioners may struggle to respond to the links and connections between outcome areas</w:t>
                            </w:r>
                            <w:r w:rsidR="00261C31" w:rsidRPr="00292A8A">
                              <w:t>.</w:t>
                            </w:r>
                          </w:p>
                          <w:p w14:paraId="63DEEB61" w14:textId="77777777" w:rsidR="004E4BBC" w:rsidRDefault="004E4BBC" w:rsidP="00023C4C">
                            <w:pPr>
                              <w:shd w:val="clear" w:color="auto" w:fill="D9D9D9" w:themeFill="background1" w:themeFillShade="D9"/>
                              <w:spacing w:after="0" w:line="240" w:lineRule="auto"/>
                            </w:pPr>
                          </w:p>
                          <w:p w14:paraId="79F8E5D1" w14:textId="77777777" w:rsidR="004E4BBC" w:rsidRDefault="004E4BBC" w:rsidP="00023C4C">
                            <w:pPr>
                              <w:shd w:val="clear" w:color="auto" w:fill="D9D9D9" w:themeFill="background1" w:themeFillShade="D9"/>
                              <w:spacing w:after="0" w:line="240" w:lineRule="auto"/>
                            </w:pPr>
                            <w:r>
                              <w:t>5.25 Commissioners may have greater interest in developing their own services and reach rathe</w:t>
                            </w:r>
                            <w:r w:rsidR="00261C31">
                              <w:t>r than working with ‘outsiders’.</w:t>
                            </w:r>
                          </w:p>
                          <w:p w14:paraId="5C956D3F" w14:textId="77777777" w:rsidR="004E4BBC" w:rsidRDefault="004E4BBC" w:rsidP="00023C4C">
                            <w:pPr>
                              <w:shd w:val="clear" w:color="auto" w:fill="D9D9D9" w:themeFill="background1" w:themeFillShade="D9"/>
                              <w:spacing w:after="0" w:line="240" w:lineRule="auto"/>
                            </w:pPr>
                          </w:p>
                          <w:p w14:paraId="6B8D007F" w14:textId="77777777" w:rsidR="004E4BBC" w:rsidRDefault="004E4BBC" w:rsidP="00023C4C">
                            <w:pPr>
                              <w:shd w:val="clear" w:color="auto" w:fill="D9D9D9" w:themeFill="background1" w:themeFillShade="D9"/>
                              <w:spacing w:after="0" w:line="240" w:lineRule="auto"/>
                            </w:pPr>
                            <w:r>
                              <w:t xml:space="preserve">5.26 Pressure for community-based services, good signposting and joined up working could lead to vulnerability for providers where budgets are stretched - VCS </w:t>
                            </w:r>
                            <w:r w:rsidR="007F24A7">
                              <w:t xml:space="preserve">generally </w:t>
                            </w:r>
                            <w:r>
                              <w:t>has low margins, lower reserves and lack of access to working capital/development funding</w:t>
                            </w:r>
                            <w:r w:rsidR="00261C31">
                              <w:t>.</w:t>
                            </w:r>
                          </w:p>
                          <w:p w14:paraId="1B58F695" w14:textId="77777777" w:rsidR="004E4BBC" w:rsidRDefault="004E4BBC" w:rsidP="004E4BBC">
                            <w:pPr>
                              <w:spacing w:after="0" w:line="240" w:lineRule="auto"/>
                            </w:pPr>
                          </w:p>
                          <w:p w14:paraId="3EF88214" w14:textId="77777777" w:rsidR="004E4BBC" w:rsidRDefault="004E4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8BB79" id="_x0000_t202" coordsize="21600,21600" o:spt="202" path="m,l,21600r21600,l21600,xe">
                <v:stroke joinstyle="miter"/>
                <v:path gradientshapeok="t" o:connecttype="rect"/>
              </v:shapetype>
              <v:shape id="_x0000_s1028" type="#_x0000_t202" style="position:absolute;left:0;text-align:left;margin-left:0;margin-top:0;width:678.85pt;height:301.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">
                <v:textbox>
                  <w:txbxContent>
                    <w:p w14:paraId="11A81584" w14:textId="77777777" w:rsidR="004E4BBC" w:rsidRDefault="004E4BBC" w:rsidP="00023C4C">
                      <w:pPr>
                        <w:shd w:val="clear" w:color="auto" w:fill="D9D9D9" w:themeFill="background1" w:themeFillShade="D9"/>
                        <w:spacing w:after="0" w:line="240" w:lineRule="auto"/>
                      </w:pPr>
                      <w:r w:rsidRPr="00116FCA">
                        <w:rPr>
                          <w:color w:val="FF33CC"/>
                          <w:sz w:val="36"/>
                          <w:szCs w:val="36"/>
                        </w:rPr>
                        <w:t>5.2</w:t>
                      </w:r>
                      <w:r w:rsidR="00116FCA" w:rsidRPr="00116FCA">
                        <w:rPr>
                          <w:color w:val="FF33CC"/>
                          <w:sz w:val="36"/>
                          <w:szCs w:val="36"/>
                        </w:rPr>
                        <w:t xml:space="preserve"> </w:t>
                      </w:r>
                      <w:r w:rsidRPr="00116FCA">
                        <w:rPr>
                          <w:color w:val="FF33CC"/>
                          <w:sz w:val="36"/>
                          <w:szCs w:val="36"/>
                        </w:rPr>
                        <w:t xml:space="preserve">Challenges </w:t>
                      </w:r>
                      <w:r>
                        <w:t xml:space="preserve">inherent in this shift to </w:t>
                      </w:r>
                      <w:r w:rsidR="007F24A7">
                        <w:t xml:space="preserve">only </w:t>
                      </w:r>
                      <w:r>
                        <w:t xml:space="preserve">commissioning </w:t>
                      </w:r>
                      <w:r w:rsidR="007F24A7">
                        <w:t>i</w:t>
                      </w:r>
                      <w:r>
                        <w:t>nclude:</w:t>
                      </w:r>
                    </w:p>
                    <w:p w14:paraId="784E227F" w14:textId="77777777" w:rsidR="004E4BBC" w:rsidRDefault="004E4BBC" w:rsidP="00023C4C">
                      <w:pPr>
                        <w:pStyle w:val="ListParagraph"/>
                        <w:shd w:val="clear" w:color="auto" w:fill="D9D9D9" w:themeFill="background1" w:themeFillShade="D9"/>
                        <w:spacing w:after="0" w:line="240" w:lineRule="auto"/>
                        <w:ind w:left="360"/>
                      </w:pPr>
                    </w:p>
                    <w:p w14:paraId="688E4F28" w14:textId="77777777" w:rsidR="004E4BBC" w:rsidRDefault="004E4BBC" w:rsidP="00023C4C">
                      <w:pPr>
                        <w:shd w:val="clear" w:color="auto" w:fill="D9D9D9" w:themeFill="background1" w:themeFillShade="D9"/>
                        <w:spacing w:after="0" w:line="240" w:lineRule="auto"/>
                      </w:pPr>
                      <w:r>
                        <w:t>5.21 The tensions arising between collaboration and competition – both approaches involve complex risk assessments and difficult decisions, with potential repercussions in terms of relationships and the strength of the local community – governance issues can be complex in collaborative working models</w:t>
                      </w:r>
                      <w:r w:rsidR="00261C31">
                        <w:t>.</w:t>
                      </w:r>
                    </w:p>
                    <w:p w14:paraId="367F9676" w14:textId="77777777" w:rsidR="004E4BBC" w:rsidRDefault="004E4BBC" w:rsidP="00023C4C">
                      <w:pPr>
                        <w:shd w:val="clear" w:color="auto" w:fill="D9D9D9" w:themeFill="background1" w:themeFillShade="D9"/>
                        <w:spacing w:after="0" w:line="240" w:lineRule="auto"/>
                      </w:pPr>
                    </w:p>
                    <w:p w14:paraId="57BBFA0B" w14:textId="77777777" w:rsidR="004E4BBC" w:rsidRDefault="004E4BBC" w:rsidP="00023C4C">
                      <w:pPr>
                        <w:shd w:val="clear" w:color="auto" w:fill="D9D9D9" w:themeFill="background1" w:themeFillShade="D9"/>
                        <w:spacing w:after="0" w:line="240" w:lineRule="auto"/>
                      </w:pPr>
                      <w:r>
                        <w:t>5.22 Because of their role and contribution as key partners, VCS organisations are not quite ‘just another provider’ – however the reality is that they will be competing amongst each other and with other (outside) organisations for work (including national and regional charities) and dependent on commissioners developing specifications that will not disadvantage them</w:t>
                      </w:r>
                      <w:r w:rsidR="00261C31">
                        <w:t>.</w:t>
                      </w:r>
                    </w:p>
                    <w:p w14:paraId="61745548" w14:textId="77777777" w:rsidR="004E4BBC" w:rsidRDefault="004E4BBC" w:rsidP="00023C4C">
                      <w:pPr>
                        <w:shd w:val="clear" w:color="auto" w:fill="D9D9D9" w:themeFill="background1" w:themeFillShade="D9"/>
                        <w:spacing w:after="0" w:line="240" w:lineRule="auto"/>
                      </w:pPr>
                      <w:bookmarkStart w:id="1" w:name="_GoBack"/>
                      <w:bookmarkEnd w:id="1"/>
                    </w:p>
                    <w:p w14:paraId="46F88A77" w14:textId="77777777" w:rsidR="004E4BBC" w:rsidRDefault="004E4BBC" w:rsidP="00023C4C">
                      <w:pPr>
                        <w:shd w:val="clear" w:color="auto" w:fill="D9D9D9" w:themeFill="background1" w:themeFillShade="D9"/>
                        <w:spacing w:after="0" w:line="240" w:lineRule="auto"/>
                      </w:pPr>
                      <w:r>
                        <w:t xml:space="preserve">5.23 More joint commissioning potentially means larger contracts which may not be easy for the VCS to engage in, except as sub-contractors or as named partners </w:t>
                      </w:r>
                      <w:r w:rsidR="003C2DFE">
                        <w:t>which bring a range of complex challenges. T</w:t>
                      </w:r>
                      <w:r>
                        <w:t>here is also the issue of who pays what into the joint pot and which service manages the process and any subsequent contract</w:t>
                      </w:r>
                      <w:r w:rsidR="00261C31">
                        <w:t>.</w:t>
                      </w:r>
                    </w:p>
                    <w:p w14:paraId="47E4D2DE" w14:textId="77777777" w:rsidR="004E4BBC" w:rsidRDefault="004E4BBC" w:rsidP="00023C4C">
                      <w:pPr>
                        <w:shd w:val="clear" w:color="auto" w:fill="D9D9D9" w:themeFill="background1" w:themeFillShade="D9"/>
                        <w:spacing w:after="0" w:line="240" w:lineRule="auto"/>
                      </w:pPr>
                    </w:p>
                    <w:p w14:paraId="307A6E1C" w14:textId="77777777" w:rsidR="004E4BBC" w:rsidRDefault="004E4BBC" w:rsidP="00023C4C">
                      <w:pPr>
                        <w:shd w:val="clear" w:color="auto" w:fill="D9D9D9" w:themeFill="background1" w:themeFillShade="D9"/>
                        <w:spacing w:after="0" w:line="240" w:lineRule="auto"/>
                      </w:pPr>
                      <w:r w:rsidRPr="00292A8A">
                        <w:t>5.24 The VCS may still have to respond to a range of commissioners and/or individual commissioners may struggle to respond to the links and connections between outcome areas</w:t>
                      </w:r>
                      <w:r w:rsidR="00261C31" w:rsidRPr="00292A8A">
                        <w:t>.</w:t>
                      </w:r>
                    </w:p>
                    <w:p w14:paraId="63DEEB61" w14:textId="77777777" w:rsidR="004E4BBC" w:rsidRDefault="004E4BBC" w:rsidP="00023C4C">
                      <w:pPr>
                        <w:shd w:val="clear" w:color="auto" w:fill="D9D9D9" w:themeFill="background1" w:themeFillShade="D9"/>
                        <w:spacing w:after="0" w:line="240" w:lineRule="auto"/>
                      </w:pPr>
                    </w:p>
                    <w:p w14:paraId="79F8E5D1" w14:textId="77777777" w:rsidR="004E4BBC" w:rsidRDefault="004E4BBC" w:rsidP="00023C4C">
                      <w:pPr>
                        <w:shd w:val="clear" w:color="auto" w:fill="D9D9D9" w:themeFill="background1" w:themeFillShade="D9"/>
                        <w:spacing w:after="0" w:line="240" w:lineRule="auto"/>
                      </w:pPr>
                      <w:r>
                        <w:t>5.25 Commissioners may have greater interest in developing their own services and reach rathe</w:t>
                      </w:r>
                      <w:r w:rsidR="00261C31">
                        <w:t>r than working with ‘outsiders’.</w:t>
                      </w:r>
                    </w:p>
                    <w:p w14:paraId="5C956D3F" w14:textId="77777777" w:rsidR="004E4BBC" w:rsidRDefault="004E4BBC" w:rsidP="00023C4C">
                      <w:pPr>
                        <w:shd w:val="clear" w:color="auto" w:fill="D9D9D9" w:themeFill="background1" w:themeFillShade="D9"/>
                        <w:spacing w:after="0" w:line="240" w:lineRule="auto"/>
                      </w:pPr>
                    </w:p>
                    <w:p w14:paraId="6B8D007F" w14:textId="77777777" w:rsidR="004E4BBC" w:rsidRDefault="004E4BBC" w:rsidP="00023C4C">
                      <w:pPr>
                        <w:shd w:val="clear" w:color="auto" w:fill="D9D9D9" w:themeFill="background1" w:themeFillShade="D9"/>
                        <w:spacing w:after="0" w:line="240" w:lineRule="auto"/>
                      </w:pPr>
                      <w:r>
                        <w:t xml:space="preserve">5.26 Pressure for community-based services, good signposting and joined up working could lead to vulnerability for providers where budgets are stretched - VCS </w:t>
                      </w:r>
                      <w:r w:rsidR="007F24A7">
                        <w:t xml:space="preserve">generally </w:t>
                      </w:r>
                      <w:r>
                        <w:t>has low margins, lower reserves and lack of access to working capital/development funding</w:t>
                      </w:r>
                      <w:r w:rsidR="00261C31">
                        <w:t>.</w:t>
                      </w:r>
                    </w:p>
                    <w:p w14:paraId="1B58F695" w14:textId="77777777" w:rsidR="004E4BBC" w:rsidRDefault="004E4BBC" w:rsidP="004E4BBC">
                      <w:pPr>
                        <w:spacing w:after="0" w:line="240" w:lineRule="auto"/>
                      </w:pPr>
                    </w:p>
                    <w:p w14:paraId="3EF88214" w14:textId="77777777" w:rsidR="004E4BBC" w:rsidRDefault="004E4BBC"/>
                  </w:txbxContent>
                </v:textbox>
              </v:shape>
            </w:pict>
          </mc:Fallback>
        </mc:AlternateContent>
      </w:r>
    </w:p>
    <w:p w14:paraId="2D9544A5" w14:textId="77777777" w:rsidR="004E4BBC" w:rsidRDefault="004E4BBC" w:rsidP="00886E54">
      <w:pPr>
        <w:pStyle w:val="ListParagraph"/>
        <w:spacing w:after="0" w:line="240" w:lineRule="auto"/>
        <w:ind w:left="360"/>
      </w:pPr>
    </w:p>
    <w:p w14:paraId="52772E3B" w14:textId="77777777" w:rsidR="004E4BBC" w:rsidRDefault="004E4BBC" w:rsidP="00886E54">
      <w:pPr>
        <w:pStyle w:val="ListParagraph"/>
        <w:spacing w:after="0" w:line="240" w:lineRule="auto"/>
        <w:ind w:left="360"/>
      </w:pPr>
    </w:p>
    <w:p w14:paraId="4135616E" w14:textId="77777777" w:rsidR="004E4BBC" w:rsidRDefault="004E4BBC" w:rsidP="00886E54">
      <w:pPr>
        <w:pStyle w:val="ListParagraph"/>
        <w:spacing w:after="0" w:line="240" w:lineRule="auto"/>
        <w:ind w:left="360"/>
      </w:pPr>
    </w:p>
    <w:p w14:paraId="37E78431" w14:textId="77777777" w:rsidR="004E4BBC" w:rsidRDefault="004E4BBC" w:rsidP="00886E54">
      <w:pPr>
        <w:pStyle w:val="ListParagraph"/>
        <w:spacing w:after="0" w:line="240" w:lineRule="auto"/>
        <w:ind w:left="360"/>
      </w:pPr>
    </w:p>
    <w:p w14:paraId="47C70D5D" w14:textId="77777777" w:rsidR="004E4BBC" w:rsidRDefault="004E4BBC" w:rsidP="00886E54">
      <w:pPr>
        <w:pStyle w:val="ListParagraph"/>
        <w:spacing w:after="0" w:line="240" w:lineRule="auto"/>
        <w:ind w:left="360"/>
      </w:pPr>
    </w:p>
    <w:p w14:paraId="3A588027" w14:textId="77777777" w:rsidR="004E4BBC" w:rsidRDefault="004E4BBC" w:rsidP="00886E54">
      <w:pPr>
        <w:pStyle w:val="ListParagraph"/>
        <w:spacing w:after="0" w:line="240" w:lineRule="auto"/>
        <w:ind w:left="360"/>
      </w:pPr>
    </w:p>
    <w:p w14:paraId="70392A10" w14:textId="77777777" w:rsidR="004E4BBC" w:rsidRDefault="004E4BBC" w:rsidP="00886E54">
      <w:pPr>
        <w:pStyle w:val="ListParagraph"/>
        <w:spacing w:after="0" w:line="240" w:lineRule="auto"/>
        <w:ind w:left="360"/>
      </w:pPr>
    </w:p>
    <w:p w14:paraId="5C0F961B" w14:textId="77777777" w:rsidR="004E4BBC" w:rsidRDefault="004E4BBC" w:rsidP="00886E54">
      <w:pPr>
        <w:pStyle w:val="ListParagraph"/>
        <w:spacing w:after="0" w:line="240" w:lineRule="auto"/>
        <w:ind w:left="360"/>
      </w:pPr>
    </w:p>
    <w:p w14:paraId="5CFE7208" w14:textId="77777777" w:rsidR="004E4BBC" w:rsidRDefault="004E4BBC" w:rsidP="00886E54">
      <w:pPr>
        <w:pStyle w:val="ListParagraph"/>
        <w:spacing w:after="0" w:line="240" w:lineRule="auto"/>
        <w:ind w:left="360"/>
      </w:pPr>
    </w:p>
    <w:p w14:paraId="28699026" w14:textId="77777777" w:rsidR="004E4BBC" w:rsidRDefault="004E4BBC" w:rsidP="00886E54">
      <w:pPr>
        <w:spacing w:after="0" w:line="240" w:lineRule="auto"/>
      </w:pPr>
    </w:p>
    <w:p w14:paraId="74CBC337" w14:textId="77777777" w:rsidR="004E4BBC" w:rsidRDefault="004E4BBC" w:rsidP="00FC7C98">
      <w:pPr>
        <w:spacing w:after="0" w:line="240" w:lineRule="auto"/>
        <w:rPr>
          <w:b/>
        </w:rPr>
      </w:pPr>
    </w:p>
    <w:p w14:paraId="480D04C6" w14:textId="77777777" w:rsidR="004E4BBC" w:rsidRDefault="004E4BBC" w:rsidP="00FC7C98">
      <w:pPr>
        <w:spacing w:after="0" w:line="240" w:lineRule="auto"/>
        <w:rPr>
          <w:b/>
        </w:rPr>
      </w:pPr>
    </w:p>
    <w:p w14:paraId="367CFA12" w14:textId="77777777" w:rsidR="004E4BBC" w:rsidRDefault="004E4BBC" w:rsidP="00FC7C98">
      <w:pPr>
        <w:spacing w:after="0" w:line="240" w:lineRule="auto"/>
        <w:rPr>
          <w:b/>
        </w:rPr>
      </w:pPr>
    </w:p>
    <w:p w14:paraId="73924BB8" w14:textId="77777777" w:rsidR="004E4BBC" w:rsidRDefault="004E4BBC" w:rsidP="00FC7C98">
      <w:pPr>
        <w:spacing w:after="0" w:line="240" w:lineRule="auto"/>
        <w:rPr>
          <w:b/>
        </w:rPr>
      </w:pPr>
    </w:p>
    <w:p w14:paraId="4E6FC11D" w14:textId="77777777" w:rsidR="004E4BBC" w:rsidRDefault="004E4BBC" w:rsidP="00FC7C98">
      <w:pPr>
        <w:spacing w:after="0" w:line="240" w:lineRule="auto"/>
        <w:rPr>
          <w:b/>
        </w:rPr>
      </w:pPr>
    </w:p>
    <w:p w14:paraId="30504556" w14:textId="77777777" w:rsidR="004E4BBC" w:rsidRDefault="004E4BBC" w:rsidP="00FC7C98">
      <w:pPr>
        <w:spacing w:after="0" w:line="240" w:lineRule="auto"/>
        <w:rPr>
          <w:b/>
        </w:rPr>
      </w:pPr>
    </w:p>
    <w:p w14:paraId="1280B8E1" w14:textId="77777777" w:rsidR="004E4BBC" w:rsidRDefault="004E4BBC" w:rsidP="00FC7C98">
      <w:pPr>
        <w:spacing w:after="0" w:line="240" w:lineRule="auto"/>
        <w:rPr>
          <w:b/>
        </w:rPr>
      </w:pPr>
    </w:p>
    <w:p w14:paraId="6F4151E6" w14:textId="77777777" w:rsidR="004E4BBC" w:rsidRDefault="004E4BBC" w:rsidP="00FC7C98">
      <w:pPr>
        <w:spacing w:after="0" w:line="240" w:lineRule="auto"/>
        <w:rPr>
          <w:b/>
        </w:rPr>
      </w:pPr>
    </w:p>
    <w:p w14:paraId="37EFCD4E" w14:textId="77777777" w:rsidR="004E4BBC" w:rsidRDefault="004E4BBC" w:rsidP="00FC7C98">
      <w:pPr>
        <w:spacing w:after="0" w:line="240" w:lineRule="auto"/>
        <w:rPr>
          <w:b/>
        </w:rPr>
      </w:pPr>
    </w:p>
    <w:p w14:paraId="05A400C8" w14:textId="77777777" w:rsidR="004E4BBC" w:rsidRDefault="004E4BBC" w:rsidP="00FC7C98">
      <w:pPr>
        <w:spacing w:after="0" w:line="240" w:lineRule="auto"/>
        <w:rPr>
          <w:b/>
        </w:rPr>
      </w:pPr>
    </w:p>
    <w:p w14:paraId="7FBEAB28" w14:textId="77777777" w:rsidR="004E4BBC" w:rsidRDefault="004E4BBC" w:rsidP="00FC7C98">
      <w:pPr>
        <w:spacing w:after="0" w:line="240" w:lineRule="auto"/>
        <w:rPr>
          <w:b/>
        </w:rPr>
      </w:pPr>
    </w:p>
    <w:p w14:paraId="50B907B4" w14:textId="77777777" w:rsidR="004E4BBC" w:rsidRDefault="004E4BBC" w:rsidP="00FC7C98">
      <w:pPr>
        <w:spacing w:after="0" w:line="240" w:lineRule="auto"/>
        <w:rPr>
          <w:b/>
        </w:rPr>
      </w:pPr>
    </w:p>
    <w:p w14:paraId="65696D10" w14:textId="77777777" w:rsidR="004E4BBC" w:rsidRDefault="004E4BBC" w:rsidP="00FC7C98">
      <w:pPr>
        <w:spacing w:after="0" w:line="240" w:lineRule="auto"/>
        <w:rPr>
          <w:b/>
        </w:rPr>
      </w:pPr>
    </w:p>
    <w:p w14:paraId="1889F580" w14:textId="77777777" w:rsidR="00595A5A" w:rsidRPr="00116FCA" w:rsidRDefault="0098580E" w:rsidP="00FC7C98">
      <w:pPr>
        <w:spacing w:after="0" w:line="240" w:lineRule="auto"/>
        <w:rPr>
          <w:b/>
          <w:color w:val="FF33CC"/>
          <w:sz w:val="32"/>
          <w:szCs w:val="32"/>
        </w:rPr>
      </w:pPr>
      <w:r w:rsidRPr="00116FCA">
        <w:rPr>
          <w:b/>
          <w:color w:val="FF33CC"/>
          <w:sz w:val="32"/>
          <w:szCs w:val="32"/>
        </w:rPr>
        <w:t xml:space="preserve">6. </w:t>
      </w:r>
      <w:r w:rsidR="00595A5A" w:rsidRPr="00116FCA">
        <w:rPr>
          <w:b/>
          <w:color w:val="FF33CC"/>
          <w:sz w:val="32"/>
          <w:szCs w:val="32"/>
        </w:rPr>
        <w:t>Hearing the Community Voice</w:t>
      </w:r>
      <w:r w:rsidR="008B577D" w:rsidRPr="00116FCA">
        <w:rPr>
          <w:b/>
          <w:color w:val="FF33CC"/>
          <w:sz w:val="32"/>
          <w:szCs w:val="32"/>
        </w:rPr>
        <w:t>: Community engagement</w:t>
      </w:r>
    </w:p>
    <w:p w14:paraId="7F9BFE8C" w14:textId="77777777" w:rsidR="0098580E" w:rsidRDefault="0098580E" w:rsidP="00595A5A">
      <w:pPr>
        <w:spacing w:after="0" w:line="240" w:lineRule="auto"/>
      </w:pPr>
    </w:p>
    <w:p w14:paraId="1E8132E7" w14:textId="77777777" w:rsidR="009979EC" w:rsidRDefault="0098580E" w:rsidP="00595A5A">
      <w:pPr>
        <w:spacing w:after="0" w:line="240" w:lineRule="auto"/>
      </w:pPr>
      <w:r>
        <w:t xml:space="preserve">6.1 </w:t>
      </w:r>
      <w:r w:rsidR="00911B79">
        <w:t xml:space="preserve">The Council is committed to taking forward its intention to develop its role as Community Leader </w:t>
      </w:r>
      <w:r w:rsidR="00DD0EDE">
        <w:t>(Renewing Kingston’s Democracy – Putting the Resident into Power – approved at Council in July 2015)</w:t>
      </w:r>
      <w:r w:rsidR="00911B79">
        <w:t xml:space="preserve">, a role </w:t>
      </w:r>
      <w:r w:rsidR="009979EC">
        <w:t>s</w:t>
      </w:r>
      <w:r w:rsidR="00DD0EDE">
        <w:t xml:space="preserve">hared by Neighbourhoods (as </w:t>
      </w:r>
      <w:r w:rsidR="00911B79">
        <w:t xml:space="preserve">local </w:t>
      </w:r>
      <w:r w:rsidR="00DD0EDE">
        <w:t xml:space="preserve">Community Leaders) and Strategic decision makers. </w:t>
      </w:r>
    </w:p>
    <w:p w14:paraId="5D8A8D13" w14:textId="77777777" w:rsidR="009979EC" w:rsidRDefault="009979EC" w:rsidP="00595A5A">
      <w:pPr>
        <w:spacing w:after="0" w:line="240" w:lineRule="auto"/>
      </w:pPr>
    </w:p>
    <w:p w14:paraId="275304D8" w14:textId="77777777" w:rsidR="00911B79" w:rsidRDefault="0098580E" w:rsidP="00595A5A">
      <w:pPr>
        <w:spacing w:after="0" w:line="240" w:lineRule="auto"/>
      </w:pPr>
      <w:r>
        <w:t xml:space="preserve">6.2 </w:t>
      </w:r>
      <w:r w:rsidR="009979EC">
        <w:t xml:space="preserve">The twin imperatives of </w:t>
      </w:r>
      <w:r w:rsidR="003D3B05">
        <w:t>g</w:t>
      </w:r>
      <w:r w:rsidR="00202ED4">
        <w:t xml:space="preserve">reater community involvement </w:t>
      </w:r>
      <w:r w:rsidR="009979EC">
        <w:t>in</w:t>
      </w:r>
      <w:r w:rsidR="00202ED4">
        <w:t xml:space="preserve"> decision making</w:t>
      </w:r>
      <w:r w:rsidR="009979EC">
        <w:t xml:space="preserve"> and </w:t>
      </w:r>
      <w:r w:rsidR="00202ED4">
        <w:t>local democracy</w:t>
      </w:r>
      <w:r w:rsidR="003C2DFE">
        <w:t xml:space="preserve"> as</w:t>
      </w:r>
      <w:r w:rsidR="009979EC">
        <w:t xml:space="preserve"> </w:t>
      </w:r>
      <w:r w:rsidR="003C2DFE">
        <w:t xml:space="preserve">well as </w:t>
      </w:r>
      <w:r w:rsidR="009979EC">
        <w:t>encouraging communities to be more self-reliant underpin the borough’s ‘future proofing’.  This focus on resilience includes increased community engagement</w:t>
      </w:r>
      <w:r w:rsidR="002843D1">
        <w:t xml:space="preserve"> to achieve b</w:t>
      </w:r>
      <w:r w:rsidR="00595A5A">
        <w:t xml:space="preserve">etter decision-making based on what </w:t>
      </w:r>
      <w:r w:rsidR="002843D1">
        <w:t xml:space="preserve">people </w:t>
      </w:r>
      <w:r w:rsidR="00595A5A">
        <w:t xml:space="preserve">really </w:t>
      </w:r>
      <w:r w:rsidR="002843D1">
        <w:t>want and need</w:t>
      </w:r>
      <w:r w:rsidR="00382573">
        <w:t xml:space="preserve"> and a strong focus on the contribution of volunteering and the development of ‘social capital’</w:t>
      </w:r>
      <w:r w:rsidR="00AA684C">
        <w:t>.</w:t>
      </w:r>
    </w:p>
    <w:p w14:paraId="36ED9E5F" w14:textId="77777777" w:rsidR="00911B79" w:rsidRDefault="00911B79" w:rsidP="00595A5A">
      <w:pPr>
        <w:spacing w:after="0" w:line="240" w:lineRule="auto"/>
      </w:pPr>
    </w:p>
    <w:p w14:paraId="54E17C6D" w14:textId="77777777" w:rsidR="008B577D" w:rsidRDefault="008B577D" w:rsidP="00E55718">
      <w:pPr>
        <w:pBdr>
          <w:top w:val="single" w:sz="4" w:space="1" w:color="auto"/>
          <w:left w:val="single" w:sz="4" w:space="4" w:color="auto"/>
          <w:bottom w:val="single" w:sz="4" w:space="1" w:color="auto"/>
          <w:right w:val="single" w:sz="4" w:space="4" w:color="auto"/>
        </w:pBdr>
        <w:spacing w:after="0" w:line="240" w:lineRule="auto"/>
      </w:pPr>
      <w:r>
        <w:t xml:space="preserve">For example the ‘Community Voice’ provides a </w:t>
      </w:r>
      <w:r w:rsidR="00595A5A">
        <w:t>contribution to the J</w:t>
      </w:r>
      <w:r>
        <w:t xml:space="preserve">oint </w:t>
      </w:r>
      <w:r w:rsidR="00595A5A">
        <w:t>S</w:t>
      </w:r>
      <w:r>
        <w:t xml:space="preserve">trategic </w:t>
      </w:r>
      <w:r w:rsidR="00595A5A">
        <w:t>N</w:t>
      </w:r>
      <w:r>
        <w:t xml:space="preserve">eeds </w:t>
      </w:r>
      <w:r w:rsidR="00595A5A">
        <w:t>A</w:t>
      </w:r>
      <w:r>
        <w:t xml:space="preserve">ssessment (JSNA) </w:t>
      </w:r>
      <w:r w:rsidR="00595A5A">
        <w:t>to give a realistic on the ground picture of what local needs are</w:t>
      </w:r>
      <w:r w:rsidR="008B7B4B">
        <w:t xml:space="preserve"> </w:t>
      </w:r>
      <w:r w:rsidR="00595A5A">
        <w:t>that can balance the statistical data available.</w:t>
      </w:r>
      <w:r>
        <w:t xml:space="preserve"> </w:t>
      </w:r>
      <w:r w:rsidR="008B7B4B">
        <w:t xml:space="preserve"> </w:t>
      </w:r>
    </w:p>
    <w:p w14:paraId="696F3A3C" w14:textId="77777777" w:rsidR="00E55718" w:rsidRDefault="00E55718" w:rsidP="00E55718">
      <w:pPr>
        <w:pBdr>
          <w:top w:val="single" w:sz="4" w:space="1" w:color="auto"/>
          <w:left w:val="single" w:sz="4" w:space="4" w:color="auto"/>
          <w:bottom w:val="single" w:sz="4" w:space="1" w:color="auto"/>
          <w:right w:val="single" w:sz="4" w:space="4" w:color="auto"/>
        </w:pBdr>
        <w:spacing w:after="0" w:line="240" w:lineRule="auto"/>
      </w:pPr>
    </w:p>
    <w:p w14:paraId="6B1A0B6D" w14:textId="77777777" w:rsidR="00E55718" w:rsidRDefault="00E55718" w:rsidP="00E55718">
      <w:pPr>
        <w:pBdr>
          <w:top w:val="single" w:sz="4" w:space="1" w:color="auto"/>
          <w:left w:val="single" w:sz="4" w:space="4" w:color="auto"/>
          <w:bottom w:val="single" w:sz="4" w:space="1" w:color="auto"/>
          <w:right w:val="single" w:sz="4" w:space="4" w:color="auto"/>
        </w:pBdr>
        <w:spacing w:after="0" w:line="240" w:lineRule="auto"/>
      </w:pPr>
      <w:r>
        <w:t>(Note: JSNA is increasingly seen as the best/only sou</w:t>
      </w:r>
      <w:r w:rsidR="00A671B5">
        <w:t xml:space="preserve">rce of local needs assessment which </w:t>
      </w:r>
      <w:r>
        <w:t xml:space="preserve">commissioners are encouraged (may be required) to  use, which makes it even more vital that the community is able to influence what is in there) </w:t>
      </w:r>
    </w:p>
    <w:p w14:paraId="6135498F" w14:textId="77777777" w:rsidR="00911B79" w:rsidRDefault="00911B79" w:rsidP="00595A5A">
      <w:pPr>
        <w:spacing w:after="0" w:line="240" w:lineRule="auto"/>
      </w:pPr>
    </w:p>
    <w:p w14:paraId="5453E19E" w14:textId="77777777" w:rsidR="00595A5A" w:rsidRDefault="0098580E" w:rsidP="00595A5A">
      <w:pPr>
        <w:spacing w:after="0" w:line="240" w:lineRule="auto"/>
      </w:pPr>
      <w:r>
        <w:t xml:space="preserve">6.3 </w:t>
      </w:r>
      <w:r w:rsidR="007F246A">
        <w:t>Our</w:t>
      </w:r>
      <w:r w:rsidR="002843D1">
        <w:t xml:space="preserve"> Voluntary and Community Sector is central to </w:t>
      </w:r>
      <w:r w:rsidR="008F27E2">
        <w:t xml:space="preserve">all </w:t>
      </w:r>
      <w:r w:rsidR="007F24A7">
        <w:t>this – our</w:t>
      </w:r>
      <w:r w:rsidR="002843D1">
        <w:t xml:space="preserve"> users </w:t>
      </w:r>
      <w:r w:rsidR="002843D1" w:rsidRPr="008F27E2">
        <w:rPr>
          <w:b/>
        </w:rPr>
        <w:t>are</w:t>
      </w:r>
      <w:r w:rsidR="002843D1">
        <w:t xml:space="preserve"> the comm</w:t>
      </w:r>
      <w:r w:rsidR="007F24A7">
        <w:t xml:space="preserve">unity in all its diversity and </w:t>
      </w:r>
      <w:r w:rsidR="002843D1">
        <w:t>contribution</w:t>
      </w:r>
      <w:r w:rsidR="007F24A7">
        <w:t>s through volunteering are</w:t>
      </w:r>
      <w:r w:rsidR="002843D1">
        <w:t xml:space="preserve"> essential to the kind of local services that may increasingly form the fabric of what</w:t>
      </w:r>
      <w:r w:rsidR="00A671B5">
        <w:t xml:space="preserve"> it </w:t>
      </w:r>
      <w:r w:rsidR="002843D1">
        <w:t xml:space="preserve">is possible to provide. </w:t>
      </w:r>
    </w:p>
    <w:p w14:paraId="31034F1A" w14:textId="77777777" w:rsidR="00202ED4" w:rsidRDefault="00202ED4" w:rsidP="00595A5A">
      <w:pPr>
        <w:spacing w:after="0" w:line="240" w:lineRule="auto"/>
      </w:pPr>
    </w:p>
    <w:p w14:paraId="66FE7714" w14:textId="77777777" w:rsidR="004E4BBC" w:rsidRDefault="004E4BBC" w:rsidP="00595A5A">
      <w:pPr>
        <w:spacing w:after="0" w:line="240" w:lineRule="auto"/>
      </w:pPr>
      <w:r>
        <w:rPr>
          <w:noProof/>
          <w:lang w:eastAsia="en-GB"/>
        </w:rPr>
        <mc:AlternateContent>
          <mc:Choice Requires="wps">
            <w:drawing>
              <wp:anchor distT="0" distB="0" distL="114300" distR="114300" simplePos="0" relativeHeight="251665408" behindDoc="0" locked="0" layoutInCell="1" allowOverlap="1" wp14:anchorId="79C181C5" wp14:editId="0F9C55A9">
                <wp:simplePos x="0" y="0"/>
                <wp:positionH relativeFrom="column">
                  <wp:align>center</wp:align>
                </wp:positionH>
                <wp:positionV relativeFrom="paragraph">
                  <wp:posOffset>0</wp:posOffset>
                </wp:positionV>
                <wp:extent cx="8625840" cy="1913890"/>
                <wp:effectExtent l="0" t="0" r="2286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5840" cy="1913890"/>
                        </a:xfrm>
                        <a:prstGeom prst="rect">
                          <a:avLst/>
                        </a:prstGeom>
                        <a:solidFill>
                          <a:srgbClr val="FFFFFF"/>
                        </a:solidFill>
                        <a:ln w="9525">
                          <a:solidFill>
                            <a:srgbClr val="000000"/>
                          </a:solidFill>
                          <a:miter lim="800000"/>
                          <a:headEnd/>
                          <a:tailEnd/>
                        </a:ln>
                      </wps:spPr>
                      <wps:txbx>
                        <w:txbxContent>
                          <w:p w14:paraId="3009F107" w14:textId="77777777" w:rsidR="00E74774" w:rsidRDefault="00E74774" w:rsidP="00023C4C">
                            <w:pPr>
                              <w:shd w:val="clear" w:color="auto" w:fill="D9D9D9" w:themeFill="background1" w:themeFillShade="D9"/>
                              <w:spacing w:after="0" w:line="240" w:lineRule="auto"/>
                            </w:pPr>
                            <w:r w:rsidRPr="00116FCA">
                              <w:rPr>
                                <w:color w:val="FF33CC"/>
                                <w:sz w:val="36"/>
                                <w:szCs w:val="36"/>
                              </w:rPr>
                              <w:t>6.4 Challenges</w:t>
                            </w:r>
                            <w:r w:rsidRPr="00116FCA">
                              <w:rPr>
                                <w:color w:val="FF33CC"/>
                              </w:rPr>
                              <w:t xml:space="preserve"> </w:t>
                            </w:r>
                            <w:r>
                              <w:t>to achieving this include:</w:t>
                            </w:r>
                          </w:p>
                          <w:p w14:paraId="08705CAF" w14:textId="77777777" w:rsidR="00E74774" w:rsidRDefault="00E74774" w:rsidP="00023C4C">
                            <w:pPr>
                              <w:shd w:val="clear" w:color="auto" w:fill="D9D9D9" w:themeFill="background1" w:themeFillShade="D9"/>
                              <w:spacing w:after="0" w:line="240" w:lineRule="auto"/>
                            </w:pPr>
                          </w:p>
                          <w:p w14:paraId="59A04F75" w14:textId="77777777" w:rsidR="00E74774" w:rsidRDefault="00E74774" w:rsidP="00023C4C">
                            <w:pPr>
                              <w:shd w:val="clear" w:color="auto" w:fill="D9D9D9" w:themeFill="background1" w:themeFillShade="D9"/>
                              <w:spacing w:after="0" w:line="240" w:lineRule="auto"/>
                            </w:pPr>
                            <w:r>
                              <w:t xml:space="preserve">6.41 How to involve smaller organisations in this approach, particularly around localism and the challenge of supporting grass roots activities – their views need to be heard when it comes to their sustainability and particularly their role in supporting volunteers (many small organisations are totally dependent on volunteers). How to support them – the grants programme is helpful but limited to new activities with no repeat funding. </w:t>
                            </w:r>
                          </w:p>
                          <w:p w14:paraId="761529F2" w14:textId="77777777" w:rsidR="00E74774" w:rsidRDefault="00E74774" w:rsidP="00023C4C">
                            <w:pPr>
                              <w:shd w:val="clear" w:color="auto" w:fill="D9D9D9" w:themeFill="background1" w:themeFillShade="D9"/>
                              <w:spacing w:after="0" w:line="240" w:lineRule="auto"/>
                            </w:pPr>
                          </w:p>
                          <w:p w14:paraId="24F71F14" w14:textId="77777777" w:rsidR="00E74774" w:rsidRDefault="00E74774" w:rsidP="00023C4C">
                            <w:pPr>
                              <w:shd w:val="clear" w:color="auto" w:fill="D9D9D9" w:themeFill="background1" w:themeFillShade="D9"/>
                              <w:spacing w:after="0" w:line="240" w:lineRule="auto"/>
                            </w:pPr>
                            <w:r>
                              <w:t>6.42 For Community Leaders and Strategic decision makers to</w:t>
                            </w:r>
                            <w:r w:rsidR="00A671B5">
                              <w:t xml:space="preserve"> hear the voice and act on it </w:t>
                            </w:r>
                            <w:r>
                              <w:t>needs resources and clarity of direction – need to be able to manage the tensions between myriad voices</w:t>
                            </w:r>
                          </w:p>
                          <w:p w14:paraId="377006FA" w14:textId="77777777" w:rsidR="00E74774" w:rsidRDefault="00E74774" w:rsidP="00023C4C">
                            <w:pPr>
                              <w:shd w:val="clear" w:color="auto" w:fill="D9D9D9" w:themeFill="background1" w:themeFillShade="D9"/>
                              <w:spacing w:after="0" w:line="240" w:lineRule="auto"/>
                            </w:pPr>
                          </w:p>
                          <w:p w14:paraId="5FC86DF3" w14:textId="77777777" w:rsidR="004E4BBC" w:rsidRDefault="00E74774" w:rsidP="00023C4C">
                            <w:pPr>
                              <w:shd w:val="clear" w:color="auto" w:fill="D9D9D9" w:themeFill="background1" w:themeFillShade="D9"/>
                              <w:spacing w:after="0" w:line="240" w:lineRule="auto"/>
                            </w:pPr>
                            <w:r>
                              <w:t xml:space="preserve">6.43 What happens if some </w:t>
                            </w:r>
                            <w:r w:rsidR="007F246A">
                              <w:t>needs are not reflected in J</w:t>
                            </w:r>
                            <w:r w:rsidR="00261C31">
                              <w:t xml:space="preserve">oint </w:t>
                            </w:r>
                            <w:r w:rsidR="007F246A">
                              <w:t>S</w:t>
                            </w:r>
                            <w:r w:rsidR="00261C31">
                              <w:t xml:space="preserve">trategic </w:t>
                            </w:r>
                            <w:r w:rsidR="007F246A">
                              <w:t>N</w:t>
                            </w:r>
                            <w:r w:rsidR="00261C31">
                              <w:t xml:space="preserve">eeds </w:t>
                            </w:r>
                            <w:r w:rsidR="007F246A">
                              <w:t>A</w:t>
                            </w:r>
                            <w:r w:rsidR="00261C31">
                              <w:t>ssessment</w:t>
                            </w:r>
                            <w:r w:rsidR="007F246A">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181C5" id="_x0000_s1029" type="#_x0000_t202" style="position:absolute;margin-left:0;margin-top:0;width:679.2pt;height:150.7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">
                <v:textbox style="mso-fit-shape-to-text:t">
                  <w:txbxContent>
                    <w:p w14:paraId="3009F107" w14:textId="77777777" w:rsidR="00E74774" w:rsidRDefault="00E74774" w:rsidP="00023C4C">
                      <w:pPr>
                        <w:shd w:val="clear" w:color="auto" w:fill="D9D9D9" w:themeFill="background1" w:themeFillShade="D9"/>
                        <w:spacing w:after="0" w:line="240" w:lineRule="auto"/>
                      </w:pPr>
                      <w:r w:rsidRPr="00116FCA">
                        <w:rPr>
                          <w:color w:val="FF33CC"/>
                          <w:sz w:val="36"/>
                          <w:szCs w:val="36"/>
                        </w:rPr>
                        <w:t>6.4 Challenges</w:t>
                      </w:r>
                      <w:r w:rsidRPr="00116FCA">
                        <w:rPr>
                          <w:color w:val="FF33CC"/>
                        </w:rPr>
                        <w:t xml:space="preserve"> </w:t>
                      </w:r>
                      <w:r>
                        <w:t>to achieving this include:</w:t>
                      </w:r>
                    </w:p>
                    <w:p w14:paraId="08705CAF" w14:textId="77777777" w:rsidR="00E74774" w:rsidRDefault="00E74774" w:rsidP="00023C4C">
                      <w:pPr>
                        <w:shd w:val="clear" w:color="auto" w:fill="D9D9D9" w:themeFill="background1" w:themeFillShade="D9"/>
                        <w:spacing w:after="0" w:line="240" w:lineRule="auto"/>
                      </w:pPr>
                    </w:p>
                    <w:p w14:paraId="59A04F75" w14:textId="77777777" w:rsidR="00E74774" w:rsidRDefault="00E74774" w:rsidP="00023C4C">
                      <w:pPr>
                        <w:shd w:val="clear" w:color="auto" w:fill="D9D9D9" w:themeFill="background1" w:themeFillShade="D9"/>
                        <w:spacing w:after="0" w:line="240" w:lineRule="auto"/>
                      </w:pPr>
                      <w:r>
                        <w:t xml:space="preserve">6.41 How to involve smaller organisations in this approach, particularly around localism and the challenge of supporting grass roots activities – their views need to be heard when it comes to their sustainability and particularly their role in supporting volunteers (many small organisations are totally dependent on volunteers). How to support them – the grants programme is helpful but limited to new activities with no repeat funding. </w:t>
                      </w:r>
                    </w:p>
                    <w:p w14:paraId="761529F2" w14:textId="77777777" w:rsidR="00E74774" w:rsidRDefault="00E74774" w:rsidP="00023C4C">
                      <w:pPr>
                        <w:shd w:val="clear" w:color="auto" w:fill="D9D9D9" w:themeFill="background1" w:themeFillShade="D9"/>
                        <w:spacing w:after="0" w:line="240" w:lineRule="auto"/>
                      </w:pPr>
                    </w:p>
                    <w:p w14:paraId="24F71F14" w14:textId="77777777" w:rsidR="00E74774" w:rsidRDefault="00E74774" w:rsidP="00023C4C">
                      <w:pPr>
                        <w:shd w:val="clear" w:color="auto" w:fill="D9D9D9" w:themeFill="background1" w:themeFillShade="D9"/>
                        <w:spacing w:after="0" w:line="240" w:lineRule="auto"/>
                      </w:pPr>
                      <w:r>
                        <w:t>6.42 For Community Leaders and Strategic decision makers to</w:t>
                      </w:r>
                      <w:r w:rsidR="00A671B5">
                        <w:t xml:space="preserve"> hear the voice and act on it </w:t>
                      </w:r>
                      <w:r>
                        <w:t>needs resources and clarity of direction – need to be able to manage the tensions between myriad voices</w:t>
                      </w:r>
                    </w:p>
                    <w:p w14:paraId="377006FA" w14:textId="77777777" w:rsidR="00E74774" w:rsidRDefault="00E74774" w:rsidP="00023C4C">
                      <w:pPr>
                        <w:shd w:val="clear" w:color="auto" w:fill="D9D9D9" w:themeFill="background1" w:themeFillShade="D9"/>
                        <w:spacing w:after="0" w:line="240" w:lineRule="auto"/>
                      </w:pPr>
                    </w:p>
                    <w:p w14:paraId="5FC86DF3" w14:textId="77777777" w:rsidR="004E4BBC" w:rsidRDefault="00E74774" w:rsidP="00023C4C">
                      <w:pPr>
                        <w:shd w:val="clear" w:color="auto" w:fill="D9D9D9" w:themeFill="background1" w:themeFillShade="D9"/>
                        <w:spacing w:after="0" w:line="240" w:lineRule="auto"/>
                      </w:pPr>
                      <w:r>
                        <w:t xml:space="preserve">6.43 What happens if some </w:t>
                      </w:r>
                      <w:r w:rsidR="007F246A">
                        <w:t>needs are not reflected in J</w:t>
                      </w:r>
                      <w:r w:rsidR="00261C31">
                        <w:t xml:space="preserve">oint </w:t>
                      </w:r>
                      <w:r w:rsidR="007F246A">
                        <w:t>S</w:t>
                      </w:r>
                      <w:r w:rsidR="00261C31">
                        <w:t xml:space="preserve">trategic </w:t>
                      </w:r>
                      <w:r w:rsidR="007F246A">
                        <w:t>N</w:t>
                      </w:r>
                      <w:r w:rsidR="00261C31">
                        <w:t xml:space="preserve">eeds </w:t>
                      </w:r>
                      <w:r w:rsidR="007F246A">
                        <w:t>A</w:t>
                      </w:r>
                      <w:r w:rsidR="00261C31">
                        <w:t>ssessment</w:t>
                      </w:r>
                      <w:r w:rsidR="007F246A">
                        <w:t>.</w:t>
                      </w:r>
                    </w:p>
                  </w:txbxContent>
                </v:textbox>
              </v:shape>
            </w:pict>
          </mc:Fallback>
        </mc:AlternateContent>
      </w:r>
    </w:p>
    <w:p w14:paraId="4B2B23EA" w14:textId="77777777" w:rsidR="004E4BBC" w:rsidRDefault="004E4BBC" w:rsidP="00595A5A">
      <w:pPr>
        <w:spacing w:after="0" w:line="240" w:lineRule="auto"/>
      </w:pPr>
    </w:p>
    <w:p w14:paraId="510DA631" w14:textId="77777777" w:rsidR="004E4BBC" w:rsidRDefault="004E4BBC" w:rsidP="00595A5A">
      <w:pPr>
        <w:spacing w:after="0" w:line="240" w:lineRule="auto"/>
      </w:pPr>
    </w:p>
    <w:p w14:paraId="13AD8C02" w14:textId="77777777" w:rsidR="004E4BBC" w:rsidRDefault="004E4BBC" w:rsidP="00595A5A">
      <w:pPr>
        <w:spacing w:after="0" w:line="240" w:lineRule="auto"/>
      </w:pPr>
    </w:p>
    <w:p w14:paraId="03E0D2EA" w14:textId="77777777" w:rsidR="004E4BBC" w:rsidRDefault="004E4BBC" w:rsidP="00595A5A">
      <w:pPr>
        <w:spacing w:after="0" w:line="240" w:lineRule="auto"/>
      </w:pPr>
    </w:p>
    <w:p w14:paraId="63081899" w14:textId="77777777" w:rsidR="004E4BBC" w:rsidRDefault="004E4BBC" w:rsidP="00595A5A">
      <w:pPr>
        <w:spacing w:after="0" w:line="240" w:lineRule="auto"/>
      </w:pPr>
    </w:p>
    <w:p w14:paraId="48A48B42" w14:textId="77777777" w:rsidR="004E4BBC" w:rsidRDefault="004E4BBC" w:rsidP="00595A5A">
      <w:pPr>
        <w:spacing w:after="0" w:line="240" w:lineRule="auto"/>
      </w:pPr>
    </w:p>
    <w:p w14:paraId="6B7F4F78" w14:textId="77777777" w:rsidR="004E4BBC" w:rsidRDefault="004E4BBC" w:rsidP="00595A5A">
      <w:pPr>
        <w:spacing w:after="0" w:line="240" w:lineRule="auto"/>
      </w:pPr>
    </w:p>
    <w:p w14:paraId="0E18AF66" w14:textId="77777777" w:rsidR="004E4BBC" w:rsidRDefault="004E4BBC" w:rsidP="00595A5A">
      <w:pPr>
        <w:spacing w:after="0" w:line="240" w:lineRule="auto"/>
      </w:pPr>
    </w:p>
    <w:p w14:paraId="640D98D2" w14:textId="77777777" w:rsidR="004E4BBC" w:rsidRDefault="004E4BBC" w:rsidP="00595A5A">
      <w:pPr>
        <w:spacing w:after="0" w:line="240" w:lineRule="auto"/>
      </w:pPr>
    </w:p>
    <w:p w14:paraId="78AC960A" w14:textId="77777777" w:rsidR="004E4BBC" w:rsidRDefault="004E4BBC" w:rsidP="00595A5A">
      <w:pPr>
        <w:spacing w:after="0" w:line="240" w:lineRule="auto"/>
      </w:pPr>
    </w:p>
    <w:p w14:paraId="1004F11A" w14:textId="77777777" w:rsidR="004E4BBC" w:rsidRDefault="004E4BBC" w:rsidP="00595A5A">
      <w:pPr>
        <w:spacing w:after="0" w:line="240" w:lineRule="auto"/>
      </w:pPr>
    </w:p>
    <w:p w14:paraId="28A2227A" w14:textId="77777777" w:rsidR="00C82089" w:rsidRPr="00116FCA" w:rsidRDefault="0098580E" w:rsidP="00C82089">
      <w:pPr>
        <w:spacing w:after="0" w:line="240" w:lineRule="auto"/>
        <w:rPr>
          <w:b/>
          <w:color w:val="FF33CC"/>
          <w:sz w:val="32"/>
          <w:szCs w:val="32"/>
        </w:rPr>
      </w:pPr>
      <w:r w:rsidRPr="00116FCA">
        <w:rPr>
          <w:b/>
          <w:color w:val="FF33CC"/>
          <w:sz w:val="32"/>
          <w:szCs w:val="32"/>
        </w:rPr>
        <w:t xml:space="preserve">7. </w:t>
      </w:r>
      <w:r w:rsidR="00C82089" w:rsidRPr="00116FCA">
        <w:rPr>
          <w:b/>
          <w:color w:val="FF33CC"/>
          <w:sz w:val="32"/>
          <w:szCs w:val="32"/>
        </w:rPr>
        <w:t>Responding to wider social, economic and environmental context</w:t>
      </w:r>
    </w:p>
    <w:p w14:paraId="6F11665A" w14:textId="77777777" w:rsidR="0098580E" w:rsidRDefault="0098580E" w:rsidP="00C82089">
      <w:pPr>
        <w:spacing w:after="0" w:line="240" w:lineRule="auto"/>
      </w:pPr>
    </w:p>
    <w:p w14:paraId="09908834" w14:textId="77777777" w:rsidR="00C82089" w:rsidRDefault="0098580E" w:rsidP="00C82089">
      <w:pPr>
        <w:spacing w:after="0" w:line="240" w:lineRule="auto"/>
      </w:pPr>
      <w:r>
        <w:t xml:space="preserve">7.1 </w:t>
      </w:r>
      <w:r w:rsidR="00911B79">
        <w:t>It is m</w:t>
      </w:r>
      <w:r w:rsidR="00C82089">
        <w:t>ore important than ever</w:t>
      </w:r>
      <w:r w:rsidR="00911B79">
        <w:t xml:space="preserve"> </w:t>
      </w:r>
      <w:r w:rsidR="00C82089">
        <w:t>to recognise that Kingston does not operate in a vacuum and that we need to bu</w:t>
      </w:r>
      <w:r w:rsidR="00A671B5">
        <w:t>ild local resilience to respond</w:t>
      </w:r>
      <w:r w:rsidR="00C82089">
        <w:t xml:space="preserve"> to major pressures nationally and globally.  These pressures include economic hardship, sustainability, demographic changes, migration, climate change </w:t>
      </w:r>
      <w:r w:rsidR="007F246A">
        <w:t xml:space="preserve">and environmental decline.  Our </w:t>
      </w:r>
      <w:r w:rsidR="00C82089">
        <w:t>VCS is well represented in these areas of activity as well as playing a significant part in raising awareness about these issues among their users and beneficiaries.</w:t>
      </w:r>
    </w:p>
    <w:p w14:paraId="08C5EFF6" w14:textId="77777777" w:rsidR="00911B79" w:rsidRDefault="00911B79" w:rsidP="00C82089">
      <w:pPr>
        <w:spacing w:after="0" w:line="240" w:lineRule="auto"/>
      </w:pPr>
    </w:p>
    <w:p w14:paraId="2C936545" w14:textId="77777777" w:rsidR="00911B79" w:rsidRDefault="0098580E" w:rsidP="00C82089">
      <w:pPr>
        <w:spacing w:after="0" w:line="240" w:lineRule="auto"/>
      </w:pPr>
      <w:r>
        <w:t xml:space="preserve">7.2 </w:t>
      </w:r>
      <w:r w:rsidR="00911B79">
        <w:t>Growth is central to the borough’</w:t>
      </w:r>
      <w:r w:rsidR="00EF68B2">
        <w:t xml:space="preserve">s vision for the future but managing this in the context of the </w:t>
      </w:r>
      <w:r w:rsidR="00911B79">
        <w:t>social and environmental needs of the community</w:t>
      </w:r>
      <w:r w:rsidR="00EF68B2">
        <w:t xml:space="preserve"> is a significant challenge</w:t>
      </w:r>
      <w:r w:rsidR="00911B79">
        <w:t xml:space="preserve">. </w:t>
      </w:r>
    </w:p>
    <w:p w14:paraId="2DA0C4AF" w14:textId="77777777" w:rsidR="00C82089" w:rsidRDefault="00C82089" w:rsidP="00EF68B2">
      <w:pPr>
        <w:spacing w:after="0" w:line="240" w:lineRule="auto"/>
      </w:pPr>
    </w:p>
    <w:p w14:paraId="0BA64565" w14:textId="77777777" w:rsidR="00C82089" w:rsidRPr="00116FCA" w:rsidRDefault="0098580E" w:rsidP="00FC7C98">
      <w:pPr>
        <w:spacing w:after="0" w:line="240" w:lineRule="auto"/>
        <w:rPr>
          <w:b/>
          <w:color w:val="FF33CC"/>
          <w:sz w:val="32"/>
          <w:szCs w:val="32"/>
        </w:rPr>
      </w:pPr>
      <w:r w:rsidRPr="00116FCA">
        <w:rPr>
          <w:b/>
          <w:color w:val="FF33CC"/>
          <w:sz w:val="32"/>
          <w:szCs w:val="32"/>
        </w:rPr>
        <w:t xml:space="preserve">8. </w:t>
      </w:r>
      <w:r w:rsidR="007F246A">
        <w:rPr>
          <w:b/>
          <w:color w:val="FF33CC"/>
          <w:sz w:val="32"/>
          <w:szCs w:val="32"/>
        </w:rPr>
        <w:t>Building the capacity of our</w:t>
      </w:r>
      <w:r w:rsidR="00EF68B2" w:rsidRPr="00116FCA">
        <w:rPr>
          <w:b/>
          <w:color w:val="FF33CC"/>
          <w:sz w:val="32"/>
          <w:szCs w:val="32"/>
        </w:rPr>
        <w:t xml:space="preserve"> VCS</w:t>
      </w:r>
    </w:p>
    <w:p w14:paraId="04C0E2AD" w14:textId="77777777" w:rsidR="0098580E" w:rsidRDefault="0098580E" w:rsidP="00FC7C98">
      <w:pPr>
        <w:spacing w:after="0" w:line="240" w:lineRule="auto"/>
      </w:pPr>
    </w:p>
    <w:p w14:paraId="76C4B60D" w14:textId="77777777" w:rsidR="00EF68B2" w:rsidRDefault="0098580E" w:rsidP="00FC7C98">
      <w:pPr>
        <w:spacing w:after="0" w:line="240" w:lineRule="auto"/>
      </w:pPr>
      <w:r>
        <w:t xml:space="preserve">8.1 </w:t>
      </w:r>
      <w:r w:rsidR="00EF68B2">
        <w:t>As in the firs</w:t>
      </w:r>
      <w:r w:rsidR="007F246A">
        <w:t>t Strategy a major issue for our</w:t>
      </w:r>
      <w:r w:rsidR="00EF68B2">
        <w:t xml:space="preserve"> VCS organisations is how to build their capacity t</w:t>
      </w:r>
      <w:r w:rsidR="00E74774">
        <w:t>o rise to deliver services in this new operating environment</w:t>
      </w:r>
      <w:r w:rsidR="00385E39">
        <w:t>:</w:t>
      </w:r>
    </w:p>
    <w:p w14:paraId="7388FB31" w14:textId="77777777" w:rsidR="0098580E" w:rsidRDefault="0098580E" w:rsidP="0098580E">
      <w:pPr>
        <w:spacing w:after="0" w:line="240" w:lineRule="auto"/>
      </w:pPr>
    </w:p>
    <w:p w14:paraId="69198B59" w14:textId="77777777" w:rsidR="00E74774" w:rsidRDefault="00E74774" w:rsidP="0098580E">
      <w:pPr>
        <w:spacing w:after="0" w:line="240" w:lineRule="auto"/>
      </w:pPr>
    </w:p>
    <w:p w14:paraId="1403BB9D" w14:textId="77777777" w:rsidR="00E74774" w:rsidRDefault="00E74774" w:rsidP="0098580E">
      <w:pPr>
        <w:spacing w:after="0" w:line="240" w:lineRule="auto"/>
      </w:pPr>
      <w:r>
        <w:rPr>
          <w:noProof/>
          <w:lang w:eastAsia="en-GB"/>
        </w:rPr>
        <mc:AlternateContent>
          <mc:Choice Requires="wps">
            <w:drawing>
              <wp:anchor distT="0" distB="0" distL="114300" distR="114300" simplePos="0" relativeHeight="251667456" behindDoc="0" locked="0" layoutInCell="1" allowOverlap="1" wp14:anchorId="7B8EE7DE" wp14:editId="346227AF">
                <wp:simplePos x="0" y="0"/>
                <wp:positionH relativeFrom="column">
                  <wp:posOffset>-15240</wp:posOffset>
                </wp:positionH>
                <wp:positionV relativeFrom="paragraph">
                  <wp:posOffset>-2540</wp:posOffset>
                </wp:positionV>
                <wp:extent cx="8778240" cy="2156460"/>
                <wp:effectExtent l="0" t="0" r="2286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0" cy="2156460"/>
                        </a:xfrm>
                        <a:prstGeom prst="rect">
                          <a:avLst/>
                        </a:prstGeom>
                        <a:solidFill>
                          <a:srgbClr val="FFFFFF"/>
                        </a:solidFill>
                        <a:ln w="9525">
                          <a:solidFill>
                            <a:srgbClr val="000000"/>
                          </a:solidFill>
                          <a:miter lim="800000"/>
                          <a:headEnd/>
                          <a:tailEnd/>
                        </a:ln>
                      </wps:spPr>
                      <wps:txbx>
                        <w:txbxContent>
                          <w:p w14:paraId="4D8386F2" w14:textId="77777777" w:rsidR="00E74774" w:rsidRDefault="00E74774" w:rsidP="00023C4C">
                            <w:pPr>
                              <w:shd w:val="clear" w:color="auto" w:fill="D9D9D9" w:themeFill="background1" w:themeFillShade="D9"/>
                              <w:spacing w:after="0" w:line="240" w:lineRule="auto"/>
                            </w:pPr>
                            <w:r w:rsidRPr="00116FCA">
                              <w:rPr>
                                <w:color w:val="FF33CC"/>
                                <w:sz w:val="36"/>
                                <w:szCs w:val="36"/>
                              </w:rPr>
                              <w:t>8.11 Challenges</w:t>
                            </w:r>
                            <w:r w:rsidRPr="00116FCA">
                              <w:rPr>
                                <w:color w:val="FF33CC"/>
                              </w:rPr>
                              <w:t xml:space="preserve"> </w:t>
                            </w:r>
                            <w:r>
                              <w:t>to this include:</w:t>
                            </w:r>
                          </w:p>
                          <w:p w14:paraId="49DCDFAF" w14:textId="77777777" w:rsidR="00E74774" w:rsidRDefault="00E74774" w:rsidP="00023C4C">
                            <w:pPr>
                              <w:shd w:val="clear" w:color="auto" w:fill="D9D9D9" w:themeFill="background1" w:themeFillShade="D9"/>
                              <w:spacing w:after="0" w:line="240" w:lineRule="auto"/>
                            </w:pPr>
                          </w:p>
                          <w:p w14:paraId="397E1A63" w14:textId="77777777" w:rsidR="00E74774" w:rsidRDefault="00A671B5" w:rsidP="00023C4C">
                            <w:pPr>
                              <w:shd w:val="clear" w:color="auto" w:fill="D9D9D9" w:themeFill="background1" w:themeFillShade="D9"/>
                              <w:spacing w:after="0" w:line="240" w:lineRule="auto"/>
                            </w:pPr>
                            <w:r>
                              <w:t xml:space="preserve">8.12 </w:t>
                            </w:r>
                            <w:r w:rsidR="00E74774">
                              <w:t>Supporting individuals and community organisations (mainly volunteers) to help them better identify and meet the needs of their areas, not just in terms of individual skills but in terms of the structures, resources and policies that are needed to address issues and take advantage of opportunities that arise</w:t>
                            </w:r>
                            <w:r>
                              <w:t>.</w:t>
                            </w:r>
                          </w:p>
                          <w:p w14:paraId="35C70B54" w14:textId="77777777" w:rsidR="00E74774" w:rsidRDefault="00E74774" w:rsidP="00023C4C">
                            <w:pPr>
                              <w:shd w:val="clear" w:color="auto" w:fill="D9D9D9" w:themeFill="background1" w:themeFillShade="D9"/>
                              <w:spacing w:after="0" w:line="240" w:lineRule="auto"/>
                            </w:pPr>
                          </w:p>
                          <w:p w14:paraId="300A544F" w14:textId="77777777" w:rsidR="00E74774" w:rsidRDefault="00A671B5" w:rsidP="00023C4C">
                            <w:pPr>
                              <w:shd w:val="clear" w:color="auto" w:fill="D9D9D9" w:themeFill="background1" w:themeFillShade="D9"/>
                              <w:spacing w:after="0" w:line="240" w:lineRule="auto"/>
                            </w:pPr>
                            <w:r>
                              <w:t>8.13</w:t>
                            </w:r>
                            <w:r w:rsidR="00E74774">
                              <w:t xml:space="preserve"> Enabling VCS organisations to engage in commissioning, to deliver services and to demonstrate impact and value</w:t>
                            </w:r>
                            <w:r>
                              <w:t>.</w:t>
                            </w:r>
                          </w:p>
                          <w:p w14:paraId="1751166B" w14:textId="77777777" w:rsidR="00E74774" w:rsidRDefault="00E74774" w:rsidP="00023C4C">
                            <w:pPr>
                              <w:shd w:val="clear" w:color="auto" w:fill="D9D9D9" w:themeFill="background1" w:themeFillShade="D9"/>
                              <w:spacing w:after="0" w:line="240" w:lineRule="auto"/>
                            </w:pPr>
                          </w:p>
                          <w:p w14:paraId="1CD5D7CC" w14:textId="77777777" w:rsidR="00E74774" w:rsidRDefault="00A671B5" w:rsidP="00023C4C">
                            <w:pPr>
                              <w:shd w:val="clear" w:color="auto" w:fill="D9D9D9" w:themeFill="background1" w:themeFillShade="D9"/>
                              <w:spacing w:after="0" w:line="240" w:lineRule="auto"/>
                            </w:pPr>
                            <w:r>
                              <w:t>8.14</w:t>
                            </w:r>
                            <w:r w:rsidR="00E74774">
                              <w:t xml:space="preserve"> How local infrastructure support should be funded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3D61B" id="_x0000_s1030" type="#_x0000_t202" style="position:absolute;margin-left:-1.2pt;margin-top:-.2pt;width:691.2pt;height:16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">
                <v:textbox>
                  <w:txbxContent>
                    <w:p w:rsidR="00E74774" w:rsidRDefault="00E74774" w:rsidP="00023C4C">
                      <w:pPr>
                        <w:shd w:val="clear" w:color="auto" w:fill="D9D9D9" w:themeFill="background1" w:themeFillShade="D9"/>
                        <w:spacing w:after="0" w:line="240" w:lineRule="auto"/>
                      </w:pPr>
                      <w:r w:rsidRPr="00116FCA">
                        <w:rPr>
                          <w:color w:val="FF33CC"/>
                          <w:sz w:val="36"/>
                          <w:szCs w:val="36"/>
                        </w:rPr>
                        <w:t>8.11 Challenges</w:t>
                      </w:r>
                      <w:r w:rsidRPr="00116FCA">
                        <w:rPr>
                          <w:color w:val="FF33CC"/>
                        </w:rPr>
                        <w:t xml:space="preserve"> </w:t>
                      </w:r>
                      <w:r>
                        <w:t>to this include:</w:t>
                      </w:r>
                    </w:p>
                    <w:p w:rsidR="00E74774" w:rsidRDefault="00E74774" w:rsidP="00023C4C">
                      <w:pPr>
                        <w:shd w:val="clear" w:color="auto" w:fill="D9D9D9" w:themeFill="background1" w:themeFillShade="D9"/>
                        <w:spacing w:after="0" w:line="240" w:lineRule="auto"/>
                      </w:pPr>
                    </w:p>
                    <w:p w:rsidR="00E74774" w:rsidRDefault="00A671B5" w:rsidP="00023C4C">
                      <w:pPr>
                        <w:shd w:val="clear" w:color="auto" w:fill="D9D9D9" w:themeFill="background1" w:themeFillShade="D9"/>
                        <w:spacing w:after="0" w:line="240" w:lineRule="auto"/>
                      </w:pPr>
                      <w:r>
                        <w:t xml:space="preserve">8.12 </w:t>
                      </w:r>
                      <w:r w:rsidR="00E74774">
                        <w:t>Supporting individuals and community organisations (mainly volunteers) to help them better identify and meet the needs of their areas, not just in terms of individual skills but in terms of the structures, resources and policies that are needed to address issues and take advantage of opportunities that arise</w:t>
                      </w:r>
                      <w:r>
                        <w:t>.</w:t>
                      </w:r>
                    </w:p>
                    <w:p w:rsidR="00E74774" w:rsidRDefault="00E74774" w:rsidP="00023C4C">
                      <w:pPr>
                        <w:shd w:val="clear" w:color="auto" w:fill="D9D9D9" w:themeFill="background1" w:themeFillShade="D9"/>
                        <w:spacing w:after="0" w:line="240" w:lineRule="auto"/>
                      </w:pPr>
                    </w:p>
                    <w:p w:rsidR="00E74774" w:rsidRDefault="00A671B5" w:rsidP="00023C4C">
                      <w:pPr>
                        <w:shd w:val="clear" w:color="auto" w:fill="D9D9D9" w:themeFill="background1" w:themeFillShade="D9"/>
                        <w:spacing w:after="0" w:line="240" w:lineRule="auto"/>
                      </w:pPr>
                      <w:r>
                        <w:t>8.13</w:t>
                      </w:r>
                      <w:r w:rsidR="00E74774">
                        <w:t xml:space="preserve"> Enabling VCS organisations to engage in commissioning, to deliver services and to demonstrate impact and value</w:t>
                      </w:r>
                      <w:r>
                        <w:t>.</w:t>
                      </w:r>
                    </w:p>
                    <w:p w:rsidR="00E74774" w:rsidRDefault="00E74774" w:rsidP="00023C4C">
                      <w:pPr>
                        <w:shd w:val="clear" w:color="auto" w:fill="D9D9D9" w:themeFill="background1" w:themeFillShade="D9"/>
                        <w:spacing w:after="0" w:line="240" w:lineRule="auto"/>
                      </w:pPr>
                    </w:p>
                    <w:p w:rsidR="00E74774" w:rsidRDefault="00A671B5" w:rsidP="00023C4C">
                      <w:pPr>
                        <w:shd w:val="clear" w:color="auto" w:fill="D9D9D9" w:themeFill="background1" w:themeFillShade="D9"/>
                        <w:spacing w:after="0" w:line="240" w:lineRule="auto"/>
                      </w:pPr>
                      <w:r>
                        <w:t>8.14</w:t>
                      </w:r>
                      <w:r w:rsidR="00E74774">
                        <w:t xml:space="preserve"> How local infrastructure support should be funded</w:t>
                      </w:r>
                      <w:r>
                        <w:t>.</w:t>
                      </w:r>
                    </w:p>
                  </w:txbxContent>
                </v:textbox>
              </v:shape>
            </w:pict>
          </mc:Fallback>
        </mc:AlternateContent>
      </w:r>
    </w:p>
    <w:p w14:paraId="6E412730" w14:textId="77777777" w:rsidR="00E74774" w:rsidRDefault="00E74774" w:rsidP="0098580E">
      <w:pPr>
        <w:spacing w:after="0" w:line="240" w:lineRule="auto"/>
      </w:pPr>
    </w:p>
    <w:p w14:paraId="54893C45" w14:textId="77777777" w:rsidR="00E74774" w:rsidRDefault="00E74774" w:rsidP="0098580E">
      <w:pPr>
        <w:spacing w:after="0" w:line="240" w:lineRule="auto"/>
      </w:pPr>
    </w:p>
    <w:p w14:paraId="2FDA0932" w14:textId="77777777" w:rsidR="00385E39" w:rsidRDefault="00385E39" w:rsidP="00FC7C98">
      <w:pPr>
        <w:spacing w:after="0" w:line="240" w:lineRule="auto"/>
        <w:rPr>
          <w:b/>
        </w:rPr>
      </w:pPr>
    </w:p>
    <w:p w14:paraId="5A9F8CBE" w14:textId="77777777" w:rsidR="00E42E87" w:rsidRDefault="00E42E87" w:rsidP="00FC7C98">
      <w:pPr>
        <w:spacing w:after="0" w:line="240" w:lineRule="auto"/>
      </w:pPr>
    </w:p>
    <w:p w14:paraId="35E73D1A" w14:textId="77777777" w:rsidR="00E74774" w:rsidRDefault="00E74774" w:rsidP="00385E39">
      <w:pPr>
        <w:spacing w:after="0" w:line="240" w:lineRule="auto"/>
        <w:rPr>
          <w:b/>
        </w:rPr>
      </w:pPr>
    </w:p>
    <w:p w14:paraId="031FCD64" w14:textId="77777777" w:rsidR="00E74774" w:rsidRDefault="00E74774" w:rsidP="00385E39">
      <w:pPr>
        <w:spacing w:after="0" w:line="240" w:lineRule="auto"/>
        <w:rPr>
          <w:b/>
        </w:rPr>
      </w:pPr>
    </w:p>
    <w:p w14:paraId="7617189E" w14:textId="77777777" w:rsidR="00E74774" w:rsidRDefault="00E74774" w:rsidP="00385E39">
      <w:pPr>
        <w:spacing w:after="0" w:line="240" w:lineRule="auto"/>
        <w:rPr>
          <w:b/>
        </w:rPr>
      </w:pPr>
    </w:p>
    <w:p w14:paraId="6F185471" w14:textId="77777777" w:rsidR="00E74774" w:rsidRDefault="00E74774" w:rsidP="00385E39">
      <w:pPr>
        <w:spacing w:after="0" w:line="240" w:lineRule="auto"/>
        <w:rPr>
          <w:b/>
        </w:rPr>
      </w:pPr>
    </w:p>
    <w:p w14:paraId="136C6B50" w14:textId="77777777" w:rsidR="00E74774" w:rsidRDefault="00E74774" w:rsidP="00385E39">
      <w:pPr>
        <w:spacing w:after="0" w:line="240" w:lineRule="auto"/>
        <w:rPr>
          <w:b/>
        </w:rPr>
      </w:pPr>
    </w:p>
    <w:p w14:paraId="415DA412" w14:textId="77777777" w:rsidR="00E74774" w:rsidRDefault="00E74774" w:rsidP="00385E39">
      <w:pPr>
        <w:spacing w:after="0" w:line="240" w:lineRule="auto"/>
        <w:rPr>
          <w:b/>
        </w:rPr>
      </w:pPr>
    </w:p>
    <w:p w14:paraId="406C0F5F" w14:textId="77777777" w:rsidR="00E74774" w:rsidRDefault="00E74774" w:rsidP="00385E39">
      <w:pPr>
        <w:spacing w:after="0" w:line="240" w:lineRule="auto"/>
        <w:rPr>
          <w:b/>
        </w:rPr>
      </w:pPr>
    </w:p>
    <w:p w14:paraId="0C967845" w14:textId="77777777" w:rsidR="00E74774" w:rsidRDefault="00E74774" w:rsidP="00385E39">
      <w:pPr>
        <w:spacing w:after="0" w:line="240" w:lineRule="auto"/>
        <w:rPr>
          <w:b/>
        </w:rPr>
      </w:pPr>
    </w:p>
    <w:p w14:paraId="0390B0DC" w14:textId="77777777" w:rsidR="00E74774" w:rsidRDefault="00E74774" w:rsidP="00385E39">
      <w:pPr>
        <w:spacing w:after="0" w:line="240" w:lineRule="auto"/>
        <w:rPr>
          <w:b/>
        </w:rPr>
      </w:pPr>
    </w:p>
    <w:p w14:paraId="60DD8777" w14:textId="77777777" w:rsidR="00E74774" w:rsidRDefault="00E74774" w:rsidP="00385E39">
      <w:pPr>
        <w:spacing w:after="0" w:line="240" w:lineRule="auto"/>
        <w:rPr>
          <w:b/>
        </w:rPr>
      </w:pPr>
    </w:p>
    <w:p w14:paraId="2DA2CC21" w14:textId="77777777" w:rsidR="00385E39" w:rsidRDefault="0098580E" w:rsidP="00385E39">
      <w:pPr>
        <w:spacing w:after="0" w:line="240" w:lineRule="auto"/>
        <w:rPr>
          <w:b/>
        </w:rPr>
      </w:pPr>
      <w:r>
        <w:rPr>
          <w:b/>
        </w:rPr>
        <w:t xml:space="preserve">This Strategy sets out how we will </w:t>
      </w:r>
      <w:r w:rsidR="00AA684C">
        <w:rPr>
          <w:b/>
        </w:rPr>
        <w:t>jointly continue to tackle these challenges, s</w:t>
      </w:r>
      <w:r w:rsidR="00E42E87" w:rsidRPr="00E42E87">
        <w:rPr>
          <w:b/>
        </w:rPr>
        <w:t xml:space="preserve">o that </w:t>
      </w:r>
      <w:r w:rsidR="00FD565D">
        <w:rPr>
          <w:b/>
        </w:rPr>
        <w:t xml:space="preserve">Kingston’s </w:t>
      </w:r>
      <w:r w:rsidR="007D0B7A">
        <w:rPr>
          <w:b/>
        </w:rPr>
        <w:t>local VCS</w:t>
      </w:r>
      <w:r w:rsidR="00EF68B2">
        <w:rPr>
          <w:b/>
        </w:rPr>
        <w:t xml:space="preserve"> </w:t>
      </w:r>
      <w:r w:rsidR="001662A1">
        <w:rPr>
          <w:b/>
        </w:rPr>
        <w:t xml:space="preserve">as key partners </w:t>
      </w:r>
      <w:r w:rsidR="00EF68B2">
        <w:rPr>
          <w:b/>
        </w:rPr>
        <w:t>can play their full part in</w:t>
      </w:r>
      <w:r>
        <w:rPr>
          <w:b/>
        </w:rPr>
        <w:t xml:space="preserve">:- </w:t>
      </w:r>
    </w:p>
    <w:p w14:paraId="597DD70B" w14:textId="77777777" w:rsidR="00385E39" w:rsidRDefault="00385E39" w:rsidP="00385E39">
      <w:pPr>
        <w:spacing w:after="0" w:line="240" w:lineRule="auto"/>
        <w:rPr>
          <w:b/>
        </w:rPr>
      </w:pPr>
    </w:p>
    <w:p w14:paraId="4BAF9EA8" w14:textId="77777777" w:rsidR="004054E1" w:rsidRDefault="00385E39" w:rsidP="00385E39">
      <w:pPr>
        <w:pStyle w:val="ListParagraph"/>
        <w:numPr>
          <w:ilvl w:val="0"/>
          <w:numId w:val="14"/>
        </w:numPr>
        <w:spacing w:after="0" w:line="240" w:lineRule="auto"/>
        <w:rPr>
          <w:b/>
        </w:rPr>
      </w:pPr>
      <w:r w:rsidRPr="00385E39">
        <w:rPr>
          <w:b/>
        </w:rPr>
        <w:t>W</w:t>
      </w:r>
      <w:r w:rsidR="00A458F2" w:rsidRPr="00385E39">
        <w:rPr>
          <w:b/>
        </w:rPr>
        <w:t>ork</w:t>
      </w:r>
      <w:r w:rsidRPr="00385E39">
        <w:rPr>
          <w:b/>
        </w:rPr>
        <w:t>ing</w:t>
      </w:r>
      <w:r w:rsidR="00A458F2" w:rsidRPr="00385E39">
        <w:rPr>
          <w:b/>
        </w:rPr>
        <w:t xml:space="preserve"> together better</w:t>
      </w:r>
      <w:r w:rsidR="004054E1" w:rsidRPr="00385E39">
        <w:rPr>
          <w:b/>
        </w:rPr>
        <w:t>, reducing overlap and providing seamless</w:t>
      </w:r>
      <w:r w:rsidR="00AA684C">
        <w:rPr>
          <w:b/>
        </w:rPr>
        <w:t>, cost effective and user-friendly</w:t>
      </w:r>
      <w:r w:rsidR="004054E1" w:rsidRPr="00385E39">
        <w:rPr>
          <w:b/>
        </w:rPr>
        <w:t xml:space="preserve"> services</w:t>
      </w:r>
      <w:r w:rsidR="00AA684C">
        <w:rPr>
          <w:b/>
        </w:rPr>
        <w:t xml:space="preserve"> – the services that residents want and need</w:t>
      </w:r>
    </w:p>
    <w:p w14:paraId="2B666ED2" w14:textId="77777777" w:rsidR="0098580E" w:rsidRPr="00385E39" w:rsidRDefault="0098580E" w:rsidP="0098580E">
      <w:pPr>
        <w:pStyle w:val="ListParagraph"/>
        <w:spacing w:after="0" w:line="240" w:lineRule="auto"/>
        <w:ind w:left="360"/>
        <w:rPr>
          <w:b/>
        </w:rPr>
      </w:pPr>
    </w:p>
    <w:p w14:paraId="13B63553" w14:textId="77777777" w:rsidR="00A458F2" w:rsidRDefault="004054E1" w:rsidP="00E42E87">
      <w:pPr>
        <w:pStyle w:val="ListParagraph"/>
        <w:numPr>
          <w:ilvl w:val="0"/>
          <w:numId w:val="11"/>
        </w:numPr>
        <w:spacing w:after="0" w:line="240" w:lineRule="auto"/>
        <w:rPr>
          <w:b/>
        </w:rPr>
      </w:pPr>
      <w:r w:rsidRPr="00E42E87">
        <w:rPr>
          <w:b/>
        </w:rPr>
        <w:t>Build</w:t>
      </w:r>
      <w:r w:rsidR="00385E39">
        <w:rPr>
          <w:b/>
        </w:rPr>
        <w:t>ing</w:t>
      </w:r>
      <w:r w:rsidRPr="00E42E87">
        <w:rPr>
          <w:b/>
        </w:rPr>
        <w:t xml:space="preserve"> strong and resilient communities that can weather the challenges we face togethe</w:t>
      </w:r>
      <w:r w:rsidR="00E42E87" w:rsidRPr="00E42E87">
        <w:rPr>
          <w:b/>
        </w:rPr>
        <w:t>r</w:t>
      </w:r>
      <w:r w:rsidRPr="00E42E87">
        <w:rPr>
          <w:b/>
        </w:rPr>
        <w:t xml:space="preserve"> </w:t>
      </w:r>
      <w:r w:rsidR="00E42E87">
        <w:rPr>
          <w:b/>
        </w:rPr>
        <w:t>where ‘everyone has a say and does their bit’</w:t>
      </w:r>
    </w:p>
    <w:p w14:paraId="50286C1F" w14:textId="77777777" w:rsidR="0098580E" w:rsidRPr="00E42E87" w:rsidRDefault="0098580E" w:rsidP="0098580E">
      <w:pPr>
        <w:pStyle w:val="ListParagraph"/>
        <w:spacing w:after="0" w:line="240" w:lineRule="auto"/>
        <w:ind w:left="360"/>
        <w:rPr>
          <w:b/>
        </w:rPr>
      </w:pPr>
    </w:p>
    <w:p w14:paraId="39C8B93A" w14:textId="77777777" w:rsidR="00FD565D" w:rsidRPr="00E42E87" w:rsidRDefault="00FD565D" w:rsidP="00FD565D">
      <w:pPr>
        <w:pStyle w:val="ListParagraph"/>
        <w:numPr>
          <w:ilvl w:val="0"/>
          <w:numId w:val="11"/>
        </w:numPr>
        <w:spacing w:after="0" w:line="240" w:lineRule="auto"/>
        <w:rPr>
          <w:b/>
        </w:rPr>
      </w:pPr>
      <w:r w:rsidRPr="00E42E87">
        <w:rPr>
          <w:b/>
        </w:rPr>
        <w:t>Build</w:t>
      </w:r>
      <w:r w:rsidR="00385E39">
        <w:rPr>
          <w:b/>
        </w:rPr>
        <w:t>ing</w:t>
      </w:r>
      <w:r w:rsidRPr="00E42E87">
        <w:rPr>
          <w:b/>
        </w:rPr>
        <w:t xml:space="preserve"> capacity locally, so that </w:t>
      </w:r>
      <w:r w:rsidR="007D0B7A">
        <w:rPr>
          <w:b/>
        </w:rPr>
        <w:t>our local VCS</w:t>
      </w:r>
      <w:r w:rsidRPr="00E42E87">
        <w:rPr>
          <w:b/>
        </w:rPr>
        <w:t xml:space="preserve"> can </w:t>
      </w:r>
      <w:r>
        <w:rPr>
          <w:b/>
        </w:rPr>
        <w:t>take their proper place in contributing to the success of the borough as a place to live, work, study, play and do business in</w:t>
      </w:r>
    </w:p>
    <w:p w14:paraId="6476C959" w14:textId="77777777" w:rsidR="00023C4C" w:rsidRDefault="00023C4C" w:rsidP="00D635AA">
      <w:pPr>
        <w:spacing w:after="0" w:line="240" w:lineRule="auto"/>
        <w:rPr>
          <w:b/>
          <w:sz w:val="28"/>
          <w:szCs w:val="28"/>
        </w:rPr>
      </w:pPr>
    </w:p>
    <w:p w14:paraId="3C174F06" w14:textId="77777777" w:rsidR="00D635AA" w:rsidRPr="00593C0E" w:rsidRDefault="00D635AA" w:rsidP="00D635AA">
      <w:pPr>
        <w:spacing w:after="0" w:line="240" w:lineRule="auto"/>
        <w:rPr>
          <w:b/>
          <w:color w:val="FF33CC"/>
          <w:sz w:val="32"/>
          <w:szCs w:val="32"/>
        </w:rPr>
      </w:pPr>
      <w:r w:rsidRPr="00593C0E">
        <w:rPr>
          <w:b/>
          <w:color w:val="FF33CC"/>
          <w:sz w:val="32"/>
          <w:szCs w:val="32"/>
        </w:rPr>
        <w:t>The Strategy:</w:t>
      </w:r>
    </w:p>
    <w:p w14:paraId="653F5E09" w14:textId="77777777" w:rsidR="00D635AA" w:rsidRDefault="00D635AA" w:rsidP="00D635AA">
      <w:pPr>
        <w:spacing w:after="0" w:line="240" w:lineRule="auto"/>
      </w:pPr>
      <w:r>
        <w:t xml:space="preserve">The original strategy had three themes: Commissioning, Community </w:t>
      </w:r>
      <w:r w:rsidR="007D0B7A">
        <w:t>Engagement</w:t>
      </w:r>
      <w:r>
        <w:t xml:space="preserve"> and Communications. We have now reviewed this structure in light of the changed operating environment and the revised strategy builds on the original with the following structure:</w:t>
      </w:r>
    </w:p>
    <w:p w14:paraId="4B077CB3" w14:textId="77777777" w:rsidR="00593C0E" w:rsidRDefault="00593C0E" w:rsidP="00D635AA">
      <w:pPr>
        <w:spacing w:after="0" w:line="240" w:lineRule="auto"/>
      </w:pPr>
    </w:p>
    <w:p w14:paraId="7947BB69" w14:textId="77777777" w:rsidR="00D635AA" w:rsidRDefault="00D635AA" w:rsidP="00D635AA">
      <w:pPr>
        <w:pStyle w:val="ListParagraph"/>
        <w:numPr>
          <w:ilvl w:val="0"/>
          <w:numId w:val="22"/>
        </w:numPr>
        <w:spacing w:after="0" w:line="240" w:lineRule="auto"/>
      </w:pPr>
      <w:r>
        <w:t>User Centred Design</w:t>
      </w:r>
      <w:r w:rsidR="00593C0E">
        <w:t xml:space="preserve"> of Services</w:t>
      </w:r>
      <w:r>
        <w:t>/ Community Voice</w:t>
      </w:r>
    </w:p>
    <w:p w14:paraId="4FEDA9EC" w14:textId="77777777" w:rsidR="00D635AA" w:rsidRDefault="00D635AA" w:rsidP="00D635AA">
      <w:pPr>
        <w:pStyle w:val="ListParagraph"/>
        <w:numPr>
          <w:ilvl w:val="0"/>
          <w:numId w:val="22"/>
        </w:numPr>
        <w:spacing w:after="0" w:line="240" w:lineRule="auto"/>
      </w:pPr>
      <w:r>
        <w:t>Commissioners</w:t>
      </w:r>
      <w:r w:rsidR="00E111ED">
        <w:t xml:space="preserve"> and VCS engagement</w:t>
      </w:r>
    </w:p>
    <w:p w14:paraId="6B9CA975" w14:textId="77777777" w:rsidR="00D635AA" w:rsidRDefault="00261C31" w:rsidP="00D635AA">
      <w:pPr>
        <w:pStyle w:val="ListParagraph"/>
        <w:numPr>
          <w:ilvl w:val="0"/>
          <w:numId w:val="22"/>
        </w:numPr>
        <w:spacing w:after="0" w:line="240" w:lineRule="auto"/>
      </w:pPr>
      <w:r>
        <w:t>Increased i</w:t>
      </w:r>
      <w:r w:rsidR="007D0B7A">
        <w:t>nvestment for our</w:t>
      </w:r>
      <w:r w:rsidR="00D635AA">
        <w:t xml:space="preserve"> VCS</w:t>
      </w:r>
      <w:r w:rsidR="00E111ED">
        <w:t xml:space="preserve"> from a range of funders</w:t>
      </w:r>
    </w:p>
    <w:p w14:paraId="741DEED4" w14:textId="77777777" w:rsidR="00593C0E" w:rsidRDefault="00593C0E" w:rsidP="00593C0E">
      <w:pPr>
        <w:spacing w:after="0" w:line="240" w:lineRule="auto"/>
      </w:pPr>
    </w:p>
    <w:p w14:paraId="3B6028A3" w14:textId="77777777" w:rsidR="00593C0E" w:rsidRDefault="00593C0E" w:rsidP="00593C0E">
      <w:pPr>
        <w:spacing w:after="0" w:line="240" w:lineRule="auto"/>
      </w:pPr>
      <w:r>
        <w:t>In addition there are two underlying principles which run through all work</w:t>
      </w:r>
      <w:r w:rsidR="007D0B7A">
        <w:t xml:space="preserve"> </w:t>
      </w:r>
      <w:r>
        <w:t xml:space="preserve">streams. They are </w:t>
      </w:r>
      <w:r w:rsidR="007D0B7A">
        <w:t xml:space="preserve">the </w:t>
      </w:r>
      <w:r>
        <w:t>use of the Compact which sets out how we will work across the sectors and communications which will make sure that everyone involved knows what is happening, when , by whom and how they can get involved.</w:t>
      </w:r>
    </w:p>
    <w:p w14:paraId="7303C529" w14:textId="77777777" w:rsidR="00593C0E" w:rsidRDefault="00593C0E" w:rsidP="00593C0E">
      <w:pPr>
        <w:spacing w:after="0" w:line="240" w:lineRule="auto"/>
      </w:pPr>
    </w:p>
    <w:p w14:paraId="72AFAED3" w14:textId="77777777" w:rsidR="00593C0E" w:rsidRDefault="00593C0E" w:rsidP="00593C0E">
      <w:pPr>
        <w:spacing w:after="0" w:line="240" w:lineRule="auto"/>
      </w:pPr>
      <w:r>
        <w:t>For the sake of simplicity and to make sure that the strategy is a living document which drives action</w:t>
      </w:r>
      <w:r w:rsidR="00A671B5">
        <w:t>s</w:t>
      </w:r>
      <w:r>
        <w:t xml:space="preserve"> which produces change and benefit, the sections are framed as an action plan. Funding to progress the action needed to effectively implement the strategy will be handled by KVA who will make small grants to organisations who will pledge to undertake specific actions. This will be noted as Voluntary Sector </w:t>
      </w:r>
      <w:r w:rsidR="007D0B7A">
        <w:t>Partnership Board sponsored a</w:t>
      </w:r>
      <w:r>
        <w:t>ctivity and the VS</w:t>
      </w:r>
      <w:r w:rsidR="007D0B7A">
        <w:t>P</w:t>
      </w:r>
      <w:r>
        <w:t>B will review progress against targets at their quarterly meetings.</w:t>
      </w:r>
    </w:p>
    <w:p w14:paraId="58D2DB72" w14:textId="77777777" w:rsidR="00593C0E" w:rsidRPr="0011345F" w:rsidRDefault="00593C0E" w:rsidP="00593C0E">
      <w:pPr>
        <w:spacing w:after="0" w:line="240" w:lineRule="auto"/>
        <w:rPr>
          <w:sz w:val="32"/>
          <w:szCs w:val="32"/>
        </w:rPr>
      </w:pPr>
    </w:p>
    <w:p w14:paraId="2C399BED" w14:textId="77777777" w:rsidR="00023C4C" w:rsidRDefault="00023C4C" w:rsidP="00593C0E">
      <w:pPr>
        <w:spacing w:after="0" w:line="240" w:lineRule="auto"/>
        <w:rPr>
          <w:b/>
          <w:color w:val="FF33CC"/>
          <w:sz w:val="32"/>
          <w:szCs w:val="32"/>
        </w:rPr>
      </w:pPr>
    </w:p>
    <w:p w14:paraId="391FA213" w14:textId="77777777" w:rsidR="00023C4C" w:rsidRDefault="00023C4C" w:rsidP="00593C0E">
      <w:pPr>
        <w:spacing w:after="0" w:line="240" w:lineRule="auto"/>
        <w:rPr>
          <w:b/>
          <w:color w:val="FF33CC"/>
          <w:sz w:val="32"/>
          <w:szCs w:val="32"/>
        </w:rPr>
      </w:pPr>
    </w:p>
    <w:p w14:paraId="0D99779D" w14:textId="77777777" w:rsidR="00593C0E" w:rsidRPr="0011345F" w:rsidRDefault="00593C0E" w:rsidP="00593C0E">
      <w:pPr>
        <w:spacing w:after="0" w:line="240" w:lineRule="auto"/>
        <w:rPr>
          <w:b/>
          <w:color w:val="FF33CC"/>
          <w:sz w:val="32"/>
          <w:szCs w:val="32"/>
        </w:rPr>
      </w:pPr>
      <w:r w:rsidRPr="0011345F">
        <w:rPr>
          <w:b/>
          <w:color w:val="FF33CC"/>
          <w:sz w:val="32"/>
          <w:szCs w:val="32"/>
        </w:rPr>
        <w:t xml:space="preserve">Section One – User </w:t>
      </w:r>
      <w:r w:rsidR="00023C4C">
        <w:rPr>
          <w:b/>
          <w:color w:val="FF33CC"/>
          <w:sz w:val="32"/>
          <w:szCs w:val="32"/>
        </w:rPr>
        <w:t>Centred Design of S</w:t>
      </w:r>
      <w:r w:rsidRPr="0011345F">
        <w:rPr>
          <w:b/>
          <w:color w:val="FF33CC"/>
          <w:sz w:val="32"/>
          <w:szCs w:val="32"/>
        </w:rPr>
        <w:t>ervices/Community Voice</w:t>
      </w:r>
    </w:p>
    <w:p w14:paraId="538E8B2A" w14:textId="77777777" w:rsidR="0011345F" w:rsidRDefault="0011345F" w:rsidP="00593C0E">
      <w:pPr>
        <w:spacing w:after="0" w:line="240" w:lineRule="auto"/>
      </w:pPr>
    </w:p>
    <w:p w14:paraId="1E7DAEE4" w14:textId="77777777" w:rsidR="0011345F" w:rsidRPr="0011345F" w:rsidRDefault="0011345F" w:rsidP="00593C0E">
      <w:pPr>
        <w:spacing w:after="0" w:line="240" w:lineRule="auto"/>
        <w:rPr>
          <w:b/>
        </w:rPr>
      </w:pPr>
      <w:r w:rsidRPr="0011345F">
        <w:rPr>
          <w:b/>
        </w:rPr>
        <w:t>We will work to fi</w:t>
      </w:r>
      <w:r w:rsidR="007F24A7">
        <w:rPr>
          <w:b/>
        </w:rPr>
        <w:t>nd out and agree who should be engaged in co-production of</w:t>
      </w:r>
      <w:r w:rsidRPr="0011345F">
        <w:rPr>
          <w:b/>
        </w:rPr>
        <w:t xml:space="preserve"> services. We will devise systems and protocols to gather information and establish policies to manage and balance myriad views. We will also develop and use campaigning systems to influence policies which affect people’s lives to avoid problems arising and to thus avoid difficulties for local people as well as </w:t>
      </w:r>
      <w:r w:rsidR="00A671B5">
        <w:rPr>
          <w:b/>
        </w:rPr>
        <w:t xml:space="preserve">ensuring we are </w:t>
      </w:r>
      <w:r w:rsidRPr="0011345F">
        <w:rPr>
          <w:b/>
        </w:rPr>
        <w:t>using scarce resources most effectively</w:t>
      </w:r>
      <w:r w:rsidR="00A671B5">
        <w:rPr>
          <w:b/>
        </w:rPr>
        <w:t>.</w:t>
      </w:r>
    </w:p>
    <w:p w14:paraId="56AB1221" w14:textId="77777777" w:rsidR="0011345F" w:rsidRPr="0011345F" w:rsidRDefault="0011345F" w:rsidP="00593C0E">
      <w:pPr>
        <w:spacing w:after="0" w:line="240" w:lineRule="auto"/>
      </w:pPr>
    </w:p>
    <w:tbl>
      <w:tblPr>
        <w:tblStyle w:val="TableGrid"/>
        <w:tblW w:w="0" w:type="auto"/>
        <w:tblLook w:val="04A0" w:firstRow="1" w:lastRow="0" w:firstColumn="1" w:lastColumn="0" w:noHBand="0" w:noVBand="1"/>
      </w:tblPr>
      <w:tblGrid>
        <w:gridCol w:w="4428"/>
        <w:gridCol w:w="6840"/>
        <w:gridCol w:w="1170"/>
        <w:gridCol w:w="1350"/>
      </w:tblGrid>
      <w:tr w:rsidR="00593C0E" w14:paraId="241574EE" w14:textId="77777777" w:rsidTr="0011345F">
        <w:tc>
          <w:tcPr>
            <w:tcW w:w="4428" w:type="dxa"/>
          </w:tcPr>
          <w:p w14:paraId="7BE369C1" w14:textId="77777777" w:rsidR="00593C0E" w:rsidRDefault="00593C0E" w:rsidP="00593C0E">
            <w:r>
              <w:t>Aims</w:t>
            </w:r>
          </w:p>
        </w:tc>
        <w:tc>
          <w:tcPr>
            <w:tcW w:w="6840" w:type="dxa"/>
          </w:tcPr>
          <w:p w14:paraId="5E5D1549" w14:textId="77777777" w:rsidR="00593C0E" w:rsidRDefault="00593C0E" w:rsidP="00593C0E">
            <w:r>
              <w:t>Activities</w:t>
            </w:r>
          </w:p>
        </w:tc>
        <w:tc>
          <w:tcPr>
            <w:tcW w:w="1170" w:type="dxa"/>
          </w:tcPr>
          <w:p w14:paraId="34067B3F" w14:textId="77777777" w:rsidR="00593C0E" w:rsidRDefault="00593C0E" w:rsidP="00593C0E">
            <w:r>
              <w:t>Lead</w:t>
            </w:r>
          </w:p>
        </w:tc>
        <w:tc>
          <w:tcPr>
            <w:tcW w:w="1350" w:type="dxa"/>
          </w:tcPr>
          <w:p w14:paraId="77B2DEAC" w14:textId="77777777" w:rsidR="00593C0E" w:rsidRDefault="00593C0E" w:rsidP="00593C0E">
            <w:r>
              <w:t>Timeframe</w:t>
            </w:r>
          </w:p>
        </w:tc>
      </w:tr>
      <w:tr w:rsidR="009A3E97" w14:paraId="7D003925" w14:textId="77777777" w:rsidTr="0011345F">
        <w:tc>
          <w:tcPr>
            <w:tcW w:w="4428" w:type="dxa"/>
          </w:tcPr>
          <w:p w14:paraId="66339F75" w14:textId="77777777" w:rsidR="009A3E97" w:rsidRDefault="00E111ED" w:rsidP="00E111ED">
            <w:r>
              <w:t>Effective systems are set up to capture service users experiences and ideas</w:t>
            </w:r>
          </w:p>
        </w:tc>
        <w:tc>
          <w:tcPr>
            <w:tcW w:w="6840" w:type="dxa"/>
          </w:tcPr>
          <w:p w14:paraId="657932E7" w14:textId="77777777" w:rsidR="0011345F" w:rsidRDefault="00FE205F" w:rsidP="00FE205F">
            <w:pPr>
              <w:pStyle w:val="ListParagraph"/>
              <w:numPr>
                <w:ilvl w:val="0"/>
                <w:numId w:val="24"/>
              </w:numPr>
            </w:pPr>
            <w:r>
              <w:t xml:space="preserve">Local agencies are asked for information about what they do </w:t>
            </w:r>
          </w:p>
          <w:p w14:paraId="75A2BB3B" w14:textId="77777777" w:rsidR="00FE205F" w:rsidRDefault="00FE205F" w:rsidP="00802EFD">
            <w:pPr>
              <w:pStyle w:val="ListParagraph"/>
              <w:numPr>
                <w:ilvl w:val="0"/>
                <w:numId w:val="24"/>
              </w:numPr>
            </w:pPr>
            <w:r>
              <w:t>A log of methods of engagement with service users is set up</w:t>
            </w:r>
          </w:p>
        </w:tc>
        <w:tc>
          <w:tcPr>
            <w:tcW w:w="1170" w:type="dxa"/>
          </w:tcPr>
          <w:p w14:paraId="7EF5B52D" w14:textId="77777777" w:rsidR="009A3E97" w:rsidRDefault="009A3E97" w:rsidP="00593C0E"/>
        </w:tc>
        <w:tc>
          <w:tcPr>
            <w:tcW w:w="1350" w:type="dxa"/>
          </w:tcPr>
          <w:p w14:paraId="33346B2C" w14:textId="77777777" w:rsidR="009A3E97" w:rsidRDefault="009A3E97" w:rsidP="00593C0E"/>
        </w:tc>
      </w:tr>
      <w:tr w:rsidR="00593C0E" w14:paraId="7CC9C663" w14:textId="77777777" w:rsidTr="0011345F">
        <w:tc>
          <w:tcPr>
            <w:tcW w:w="4428" w:type="dxa"/>
          </w:tcPr>
          <w:p w14:paraId="0C9D2932" w14:textId="77777777" w:rsidR="00593C0E" w:rsidRDefault="00E111ED" w:rsidP="00593C0E">
            <w:r>
              <w:t>Examples of good practice are shared within the community</w:t>
            </w:r>
          </w:p>
        </w:tc>
        <w:tc>
          <w:tcPr>
            <w:tcW w:w="6840" w:type="dxa"/>
          </w:tcPr>
          <w:p w14:paraId="0442143F" w14:textId="77777777" w:rsidR="00593C0E" w:rsidRDefault="00FE205F" w:rsidP="00FE205F">
            <w:pPr>
              <w:pStyle w:val="ListParagraph"/>
              <w:numPr>
                <w:ilvl w:val="0"/>
                <w:numId w:val="25"/>
              </w:numPr>
            </w:pPr>
            <w:r>
              <w:t>A small panel drawn from different local groups is set up to assess examples of good practice in gathering user experience with a view to sharing these with the wider community</w:t>
            </w:r>
          </w:p>
        </w:tc>
        <w:tc>
          <w:tcPr>
            <w:tcW w:w="1170" w:type="dxa"/>
          </w:tcPr>
          <w:p w14:paraId="760F6763" w14:textId="77777777" w:rsidR="00593C0E" w:rsidRDefault="00593C0E" w:rsidP="00593C0E"/>
        </w:tc>
        <w:tc>
          <w:tcPr>
            <w:tcW w:w="1350" w:type="dxa"/>
          </w:tcPr>
          <w:p w14:paraId="47FE2B23" w14:textId="77777777" w:rsidR="00593C0E" w:rsidRDefault="00593C0E" w:rsidP="00593C0E"/>
        </w:tc>
      </w:tr>
      <w:tr w:rsidR="00593C0E" w14:paraId="5682EAF1" w14:textId="77777777" w:rsidTr="0011345F">
        <w:tc>
          <w:tcPr>
            <w:tcW w:w="4428" w:type="dxa"/>
          </w:tcPr>
          <w:p w14:paraId="63CCBAA6" w14:textId="77777777" w:rsidR="00593C0E" w:rsidRDefault="00E111ED" w:rsidP="00593C0E">
            <w:r>
              <w:t>User Centred design systems are used</w:t>
            </w:r>
          </w:p>
        </w:tc>
        <w:tc>
          <w:tcPr>
            <w:tcW w:w="6840" w:type="dxa"/>
          </w:tcPr>
          <w:p w14:paraId="402167B8" w14:textId="77777777" w:rsidR="00593C0E" w:rsidRDefault="00FE205F" w:rsidP="00FE205F">
            <w:pPr>
              <w:pStyle w:val="ListParagraph"/>
              <w:numPr>
                <w:ilvl w:val="0"/>
                <w:numId w:val="25"/>
              </w:numPr>
            </w:pPr>
            <w:r>
              <w:t>Reports are done of engagement with users and lessons learnt</w:t>
            </w:r>
          </w:p>
        </w:tc>
        <w:tc>
          <w:tcPr>
            <w:tcW w:w="1170" w:type="dxa"/>
          </w:tcPr>
          <w:p w14:paraId="5C94C985" w14:textId="77777777" w:rsidR="00593C0E" w:rsidRDefault="00593C0E" w:rsidP="00593C0E"/>
        </w:tc>
        <w:tc>
          <w:tcPr>
            <w:tcW w:w="1350" w:type="dxa"/>
          </w:tcPr>
          <w:p w14:paraId="5303DEB0" w14:textId="77777777" w:rsidR="00593C0E" w:rsidRDefault="00593C0E" w:rsidP="00593C0E"/>
        </w:tc>
      </w:tr>
      <w:tr w:rsidR="00593C0E" w14:paraId="312F093A" w14:textId="77777777" w:rsidTr="0011345F">
        <w:tc>
          <w:tcPr>
            <w:tcW w:w="4428" w:type="dxa"/>
          </w:tcPr>
          <w:p w14:paraId="777BF3B1" w14:textId="77777777" w:rsidR="00593C0E" w:rsidRDefault="00E111ED" w:rsidP="00593C0E">
            <w:r>
              <w:t>Services are designed with clear reference to user’s ideas and input</w:t>
            </w:r>
          </w:p>
        </w:tc>
        <w:tc>
          <w:tcPr>
            <w:tcW w:w="6840" w:type="dxa"/>
          </w:tcPr>
          <w:p w14:paraId="6940CCD4" w14:textId="77777777" w:rsidR="00593C0E" w:rsidRDefault="00FE205F" w:rsidP="00FE205F">
            <w:pPr>
              <w:pStyle w:val="ListParagraph"/>
              <w:numPr>
                <w:ilvl w:val="0"/>
                <w:numId w:val="26"/>
              </w:numPr>
            </w:pPr>
            <w:r>
              <w:t>Records are kept of how user views have influenced design of services so that agencies can see the benefit of this approach</w:t>
            </w:r>
          </w:p>
        </w:tc>
        <w:tc>
          <w:tcPr>
            <w:tcW w:w="1170" w:type="dxa"/>
          </w:tcPr>
          <w:p w14:paraId="75FEC0D9" w14:textId="77777777" w:rsidR="00593C0E" w:rsidRDefault="00593C0E" w:rsidP="00593C0E"/>
        </w:tc>
        <w:tc>
          <w:tcPr>
            <w:tcW w:w="1350" w:type="dxa"/>
          </w:tcPr>
          <w:p w14:paraId="49392AE2" w14:textId="77777777" w:rsidR="00593C0E" w:rsidRDefault="00593C0E" w:rsidP="00593C0E"/>
        </w:tc>
      </w:tr>
      <w:tr w:rsidR="00593C0E" w14:paraId="17F80FED" w14:textId="77777777" w:rsidTr="0011345F">
        <w:tc>
          <w:tcPr>
            <w:tcW w:w="4428" w:type="dxa"/>
          </w:tcPr>
          <w:p w14:paraId="7481C9D6" w14:textId="77777777" w:rsidR="00593C0E" w:rsidRDefault="00E111ED" w:rsidP="00593C0E">
            <w:r>
              <w:t>Barriers to user involvement are identified</w:t>
            </w:r>
          </w:p>
        </w:tc>
        <w:tc>
          <w:tcPr>
            <w:tcW w:w="6840" w:type="dxa"/>
          </w:tcPr>
          <w:p w14:paraId="322919CB" w14:textId="77777777" w:rsidR="00593C0E" w:rsidRDefault="00FE205F" w:rsidP="00FE205F">
            <w:pPr>
              <w:pStyle w:val="ListParagraph"/>
              <w:numPr>
                <w:ilvl w:val="0"/>
                <w:numId w:val="27"/>
              </w:numPr>
            </w:pPr>
            <w:r>
              <w:t>A small panel is set up to identify barriers to user engagement to support work on overcoming these barriers</w:t>
            </w:r>
          </w:p>
        </w:tc>
        <w:tc>
          <w:tcPr>
            <w:tcW w:w="1170" w:type="dxa"/>
          </w:tcPr>
          <w:p w14:paraId="6DCF4EBE" w14:textId="77777777" w:rsidR="00593C0E" w:rsidRDefault="00593C0E" w:rsidP="00593C0E"/>
        </w:tc>
        <w:tc>
          <w:tcPr>
            <w:tcW w:w="1350" w:type="dxa"/>
          </w:tcPr>
          <w:p w14:paraId="450CD299" w14:textId="77777777" w:rsidR="00593C0E" w:rsidRDefault="00593C0E" w:rsidP="00593C0E"/>
        </w:tc>
      </w:tr>
      <w:tr w:rsidR="00593C0E" w14:paraId="10B178DB" w14:textId="77777777" w:rsidTr="0011345F">
        <w:tc>
          <w:tcPr>
            <w:tcW w:w="4428" w:type="dxa"/>
          </w:tcPr>
          <w:p w14:paraId="2287B07F" w14:textId="77777777" w:rsidR="00593C0E" w:rsidRDefault="00E111ED" w:rsidP="00593C0E">
            <w:r>
              <w:t>Ways to overcome these barriers are devised</w:t>
            </w:r>
          </w:p>
        </w:tc>
        <w:tc>
          <w:tcPr>
            <w:tcW w:w="6840" w:type="dxa"/>
          </w:tcPr>
          <w:p w14:paraId="4A8AB0DB" w14:textId="77777777" w:rsidR="00802EFD" w:rsidRDefault="00FE205F" w:rsidP="00802EFD">
            <w:pPr>
              <w:pStyle w:val="ListParagraph"/>
              <w:numPr>
                <w:ilvl w:val="0"/>
                <w:numId w:val="28"/>
              </w:numPr>
            </w:pPr>
            <w:r>
              <w:t xml:space="preserve">Creative solutions are identified to overcome barriers </w:t>
            </w:r>
          </w:p>
          <w:p w14:paraId="45AFAEA7" w14:textId="77777777" w:rsidR="00593C0E" w:rsidRDefault="00A671B5" w:rsidP="00802EFD">
            <w:pPr>
              <w:pStyle w:val="ListParagraph"/>
              <w:numPr>
                <w:ilvl w:val="0"/>
                <w:numId w:val="28"/>
              </w:numPr>
            </w:pPr>
            <w:r>
              <w:t>T</w:t>
            </w:r>
            <w:r w:rsidR="00FE205F">
              <w:t>hese are noted in a report and shared in the wider community</w:t>
            </w:r>
          </w:p>
        </w:tc>
        <w:tc>
          <w:tcPr>
            <w:tcW w:w="1170" w:type="dxa"/>
          </w:tcPr>
          <w:p w14:paraId="7FCC287C" w14:textId="77777777" w:rsidR="00593C0E" w:rsidRDefault="00593C0E" w:rsidP="00593C0E"/>
        </w:tc>
        <w:tc>
          <w:tcPr>
            <w:tcW w:w="1350" w:type="dxa"/>
          </w:tcPr>
          <w:p w14:paraId="563A2BDC" w14:textId="77777777" w:rsidR="00593C0E" w:rsidRDefault="00593C0E" w:rsidP="00593C0E"/>
        </w:tc>
      </w:tr>
    </w:tbl>
    <w:p w14:paraId="03762C8C" w14:textId="77777777" w:rsidR="00593C0E" w:rsidRPr="0011345F" w:rsidRDefault="00593C0E" w:rsidP="00593C0E">
      <w:pPr>
        <w:spacing w:after="0" w:line="240" w:lineRule="auto"/>
        <w:rPr>
          <w:b/>
          <w:color w:val="FF33CC"/>
          <w:sz w:val="32"/>
          <w:szCs w:val="32"/>
        </w:rPr>
      </w:pPr>
    </w:p>
    <w:p w14:paraId="6797B92B" w14:textId="77777777" w:rsidR="007D0B7A" w:rsidRDefault="007D0B7A" w:rsidP="00593C0E">
      <w:pPr>
        <w:spacing w:after="0" w:line="240" w:lineRule="auto"/>
        <w:rPr>
          <w:b/>
          <w:color w:val="FF33CC"/>
          <w:sz w:val="32"/>
          <w:szCs w:val="32"/>
        </w:rPr>
      </w:pPr>
    </w:p>
    <w:p w14:paraId="42A79D4F" w14:textId="77777777" w:rsidR="007D0B7A" w:rsidRDefault="007D0B7A" w:rsidP="00593C0E">
      <w:pPr>
        <w:spacing w:after="0" w:line="240" w:lineRule="auto"/>
        <w:rPr>
          <w:b/>
          <w:color w:val="FF33CC"/>
          <w:sz w:val="32"/>
          <w:szCs w:val="32"/>
        </w:rPr>
      </w:pPr>
    </w:p>
    <w:p w14:paraId="334AAEC0" w14:textId="77777777" w:rsidR="007D0B7A" w:rsidRDefault="007D0B7A" w:rsidP="00593C0E">
      <w:pPr>
        <w:spacing w:after="0" w:line="240" w:lineRule="auto"/>
        <w:rPr>
          <w:b/>
          <w:color w:val="FF33CC"/>
          <w:sz w:val="32"/>
          <w:szCs w:val="32"/>
        </w:rPr>
      </w:pPr>
    </w:p>
    <w:p w14:paraId="531EC76D" w14:textId="77777777" w:rsidR="00A671B5" w:rsidRDefault="00A671B5" w:rsidP="00593C0E">
      <w:pPr>
        <w:spacing w:after="0" w:line="240" w:lineRule="auto"/>
        <w:rPr>
          <w:b/>
          <w:color w:val="FF33CC"/>
          <w:sz w:val="32"/>
          <w:szCs w:val="32"/>
        </w:rPr>
      </w:pPr>
    </w:p>
    <w:p w14:paraId="5ED58BF8" w14:textId="77777777" w:rsidR="00A671B5" w:rsidRDefault="00A671B5" w:rsidP="00593C0E">
      <w:pPr>
        <w:spacing w:after="0" w:line="240" w:lineRule="auto"/>
        <w:rPr>
          <w:b/>
          <w:color w:val="FF33CC"/>
          <w:sz w:val="32"/>
          <w:szCs w:val="32"/>
        </w:rPr>
      </w:pPr>
    </w:p>
    <w:p w14:paraId="41678E19" w14:textId="77777777" w:rsidR="00593C0E" w:rsidRPr="0011345F" w:rsidRDefault="00593C0E" w:rsidP="00593C0E">
      <w:pPr>
        <w:spacing w:after="0" w:line="240" w:lineRule="auto"/>
        <w:rPr>
          <w:b/>
          <w:color w:val="FF33CC"/>
          <w:sz w:val="32"/>
          <w:szCs w:val="32"/>
        </w:rPr>
      </w:pPr>
      <w:r w:rsidRPr="0011345F">
        <w:rPr>
          <w:b/>
          <w:color w:val="FF33CC"/>
          <w:sz w:val="32"/>
          <w:szCs w:val="32"/>
        </w:rPr>
        <w:lastRenderedPageBreak/>
        <w:t xml:space="preserve">Section Two – Commissioners </w:t>
      </w:r>
      <w:r w:rsidR="00802EFD">
        <w:rPr>
          <w:b/>
          <w:color w:val="FF33CC"/>
          <w:sz w:val="32"/>
          <w:szCs w:val="32"/>
        </w:rPr>
        <w:t xml:space="preserve">and </w:t>
      </w:r>
      <w:r w:rsidR="007D0B7A">
        <w:rPr>
          <w:b/>
          <w:color w:val="FF33CC"/>
          <w:sz w:val="32"/>
          <w:szCs w:val="32"/>
        </w:rPr>
        <w:t xml:space="preserve">our </w:t>
      </w:r>
      <w:r w:rsidR="00802EFD">
        <w:rPr>
          <w:b/>
          <w:color w:val="FF33CC"/>
          <w:sz w:val="32"/>
          <w:szCs w:val="32"/>
        </w:rPr>
        <w:t xml:space="preserve">VCS </w:t>
      </w:r>
      <w:r w:rsidRPr="0011345F">
        <w:rPr>
          <w:b/>
          <w:color w:val="FF33CC"/>
          <w:sz w:val="32"/>
          <w:szCs w:val="32"/>
        </w:rPr>
        <w:t xml:space="preserve">engaged with </w:t>
      </w:r>
      <w:r w:rsidR="00802EFD">
        <w:rPr>
          <w:b/>
          <w:color w:val="FF33CC"/>
          <w:sz w:val="32"/>
          <w:szCs w:val="32"/>
        </w:rPr>
        <w:t>each other</w:t>
      </w:r>
    </w:p>
    <w:p w14:paraId="3CC3293A" w14:textId="77777777" w:rsidR="0011345F" w:rsidRDefault="0011345F" w:rsidP="00593C0E">
      <w:pPr>
        <w:spacing w:after="0" w:line="240" w:lineRule="auto"/>
        <w:rPr>
          <w:b/>
        </w:rPr>
      </w:pPr>
      <w:r>
        <w:rPr>
          <w:b/>
        </w:rPr>
        <w:t>We will devise action to find out who the Commiss</w:t>
      </w:r>
      <w:r w:rsidR="007D0B7A">
        <w:rPr>
          <w:b/>
        </w:rPr>
        <w:t>i</w:t>
      </w:r>
      <w:r>
        <w:rPr>
          <w:b/>
        </w:rPr>
        <w:t xml:space="preserve">oners are and what they commission and to understand underlying strategies which support contract delivery. We will then make links between Commissioners and providers so that there is the best use of scarce resources </w:t>
      </w:r>
      <w:r w:rsidR="00A671B5">
        <w:rPr>
          <w:b/>
        </w:rPr>
        <w:t xml:space="preserve">so </w:t>
      </w:r>
      <w:r>
        <w:rPr>
          <w:b/>
        </w:rPr>
        <w:t>as gaps and overlaps are avoided and complementary services are valued and supported.</w:t>
      </w:r>
    </w:p>
    <w:p w14:paraId="26116F3D" w14:textId="77777777" w:rsidR="0011345F" w:rsidRPr="0011345F" w:rsidRDefault="0011345F" w:rsidP="00593C0E">
      <w:pPr>
        <w:spacing w:after="0" w:line="240" w:lineRule="auto"/>
        <w:rPr>
          <w:b/>
        </w:rPr>
      </w:pPr>
    </w:p>
    <w:tbl>
      <w:tblPr>
        <w:tblStyle w:val="TableGrid"/>
        <w:tblW w:w="0" w:type="auto"/>
        <w:tblLook w:val="04A0" w:firstRow="1" w:lastRow="0" w:firstColumn="1" w:lastColumn="0" w:noHBand="0" w:noVBand="1"/>
      </w:tblPr>
      <w:tblGrid>
        <w:gridCol w:w="4428"/>
        <w:gridCol w:w="6840"/>
        <w:gridCol w:w="1170"/>
        <w:gridCol w:w="1350"/>
      </w:tblGrid>
      <w:tr w:rsidR="00593C0E" w14:paraId="1775518E" w14:textId="77777777" w:rsidTr="0011345F">
        <w:tc>
          <w:tcPr>
            <w:tcW w:w="4428" w:type="dxa"/>
          </w:tcPr>
          <w:p w14:paraId="05E5307C" w14:textId="77777777" w:rsidR="00593C0E" w:rsidRDefault="00593C0E" w:rsidP="00F33209">
            <w:r>
              <w:t>Aims</w:t>
            </w:r>
          </w:p>
        </w:tc>
        <w:tc>
          <w:tcPr>
            <w:tcW w:w="6840" w:type="dxa"/>
          </w:tcPr>
          <w:p w14:paraId="4481B6CD" w14:textId="77777777" w:rsidR="00593C0E" w:rsidRDefault="00593C0E" w:rsidP="00F33209">
            <w:r>
              <w:t>Activities</w:t>
            </w:r>
          </w:p>
        </w:tc>
        <w:tc>
          <w:tcPr>
            <w:tcW w:w="1170" w:type="dxa"/>
          </w:tcPr>
          <w:p w14:paraId="3F4EA154" w14:textId="77777777" w:rsidR="00593C0E" w:rsidRDefault="00593C0E" w:rsidP="00F33209">
            <w:r>
              <w:t>Lead</w:t>
            </w:r>
          </w:p>
        </w:tc>
        <w:tc>
          <w:tcPr>
            <w:tcW w:w="1350" w:type="dxa"/>
          </w:tcPr>
          <w:p w14:paraId="468FD899" w14:textId="77777777" w:rsidR="00593C0E" w:rsidRDefault="00593C0E" w:rsidP="00F33209">
            <w:r>
              <w:t>Timeframe</w:t>
            </w:r>
          </w:p>
        </w:tc>
      </w:tr>
      <w:tr w:rsidR="00593C0E" w14:paraId="72908CCD" w14:textId="77777777" w:rsidTr="0011345F">
        <w:tc>
          <w:tcPr>
            <w:tcW w:w="4428" w:type="dxa"/>
          </w:tcPr>
          <w:p w14:paraId="0AC6849D" w14:textId="77777777" w:rsidR="00593C0E" w:rsidRDefault="00E111ED" w:rsidP="007D0B7A">
            <w:r>
              <w:t xml:space="preserve">Commissioners understand the role and contribution of </w:t>
            </w:r>
            <w:r w:rsidR="007D0B7A">
              <w:t>our</w:t>
            </w:r>
            <w:r>
              <w:t xml:space="preserve"> VCS</w:t>
            </w:r>
          </w:p>
        </w:tc>
        <w:tc>
          <w:tcPr>
            <w:tcW w:w="6840" w:type="dxa"/>
          </w:tcPr>
          <w:p w14:paraId="7CDA2E35" w14:textId="77777777" w:rsidR="00FE205F" w:rsidRDefault="00FE205F" w:rsidP="00FE205F">
            <w:pPr>
              <w:pStyle w:val="ListParagraph"/>
              <w:numPr>
                <w:ilvl w:val="0"/>
                <w:numId w:val="23"/>
              </w:numPr>
            </w:pPr>
            <w:r>
              <w:t xml:space="preserve">A panel will be set up of Commissioners and </w:t>
            </w:r>
            <w:r w:rsidR="00A671B5">
              <w:t>VCS representatives</w:t>
            </w:r>
            <w:r>
              <w:t xml:space="preserve"> to identify the level of knowledge and understanding of the role and contribution of the VCS</w:t>
            </w:r>
          </w:p>
          <w:p w14:paraId="592BA9C7" w14:textId="77777777" w:rsidR="00FE205F" w:rsidRDefault="00FE205F" w:rsidP="00FE205F">
            <w:pPr>
              <w:pStyle w:val="ListParagraph"/>
              <w:numPr>
                <w:ilvl w:val="0"/>
                <w:numId w:val="23"/>
              </w:numPr>
            </w:pPr>
            <w:r>
              <w:t xml:space="preserve">The VCSS document on the impact of the VCS will be updated to reflect current roles and contribution </w:t>
            </w:r>
          </w:p>
          <w:p w14:paraId="7B1D2150" w14:textId="77777777" w:rsidR="00593C0E" w:rsidRDefault="00FE205F" w:rsidP="00FE205F">
            <w:pPr>
              <w:pStyle w:val="ListParagraph"/>
              <w:numPr>
                <w:ilvl w:val="0"/>
                <w:numId w:val="23"/>
              </w:numPr>
            </w:pPr>
            <w:r>
              <w:t>Lead individuals from different sub sectors will make contact with the Commissioner relevant to their sub sector- using the VCSS document to support discussions</w:t>
            </w:r>
          </w:p>
        </w:tc>
        <w:tc>
          <w:tcPr>
            <w:tcW w:w="1170" w:type="dxa"/>
          </w:tcPr>
          <w:p w14:paraId="2793FB17" w14:textId="77777777" w:rsidR="00593C0E" w:rsidRDefault="00593C0E" w:rsidP="00F33209"/>
        </w:tc>
        <w:tc>
          <w:tcPr>
            <w:tcW w:w="1350" w:type="dxa"/>
          </w:tcPr>
          <w:p w14:paraId="73147319" w14:textId="77777777" w:rsidR="00593C0E" w:rsidRDefault="00593C0E" w:rsidP="00F33209"/>
        </w:tc>
      </w:tr>
      <w:tr w:rsidR="009A3E97" w14:paraId="09B29E64" w14:textId="77777777" w:rsidTr="0011345F">
        <w:tc>
          <w:tcPr>
            <w:tcW w:w="4428" w:type="dxa"/>
          </w:tcPr>
          <w:p w14:paraId="2E768517" w14:textId="77777777" w:rsidR="009A3E97" w:rsidRDefault="00E111ED" w:rsidP="00F33209">
            <w:r>
              <w:t>VCS know who the Commissioners are</w:t>
            </w:r>
          </w:p>
        </w:tc>
        <w:tc>
          <w:tcPr>
            <w:tcW w:w="6840" w:type="dxa"/>
          </w:tcPr>
          <w:p w14:paraId="13DC9D7F" w14:textId="77777777" w:rsidR="00FE205F" w:rsidRDefault="00FE205F" w:rsidP="00802EFD">
            <w:pPr>
              <w:pStyle w:val="ListParagraph"/>
              <w:numPr>
                <w:ilvl w:val="0"/>
                <w:numId w:val="29"/>
              </w:numPr>
            </w:pPr>
            <w:r>
              <w:t>RBK list of Commissioners will be widely circulated (updated 6 monthly)</w:t>
            </w:r>
            <w:r w:rsidR="00802EFD">
              <w:t xml:space="preserve"> </w:t>
            </w:r>
          </w:p>
        </w:tc>
        <w:tc>
          <w:tcPr>
            <w:tcW w:w="1170" w:type="dxa"/>
          </w:tcPr>
          <w:p w14:paraId="1192D852" w14:textId="77777777" w:rsidR="009A3E97" w:rsidRDefault="009A3E97" w:rsidP="00F33209"/>
        </w:tc>
        <w:tc>
          <w:tcPr>
            <w:tcW w:w="1350" w:type="dxa"/>
          </w:tcPr>
          <w:p w14:paraId="49818AB2" w14:textId="77777777" w:rsidR="009A3E97" w:rsidRDefault="009A3E97" w:rsidP="00F33209"/>
        </w:tc>
      </w:tr>
      <w:tr w:rsidR="00593C0E" w14:paraId="1F1FEE93" w14:textId="77777777" w:rsidTr="0011345F">
        <w:tc>
          <w:tcPr>
            <w:tcW w:w="4428" w:type="dxa"/>
          </w:tcPr>
          <w:p w14:paraId="24731FFF" w14:textId="77777777" w:rsidR="00593C0E" w:rsidRDefault="00E111ED" w:rsidP="00F33209">
            <w:r>
              <w:t>Commissioners use a flexible approach to commissioning – using direct awards as well as competitive tenders</w:t>
            </w:r>
          </w:p>
        </w:tc>
        <w:tc>
          <w:tcPr>
            <w:tcW w:w="6840" w:type="dxa"/>
          </w:tcPr>
          <w:p w14:paraId="6F9F3FEB" w14:textId="77777777" w:rsidR="00593C0E" w:rsidRDefault="00FE205F" w:rsidP="00802EFD">
            <w:pPr>
              <w:pStyle w:val="ListParagraph"/>
              <w:numPr>
                <w:ilvl w:val="0"/>
                <w:numId w:val="30"/>
              </w:numPr>
            </w:pPr>
            <w:r>
              <w:t xml:space="preserve">Sub Sector leads will </w:t>
            </w:r>
            <w:r w:rsidR="00802EFD">
              <w:t>share Commissioners approach with</w:t>
            </w:r>
            <w:r>
              <w:t xml:space="preserve"> KVA</w:t>
            </w:r>
          </w:p>
          <w:p w14:paraId="4B6402BF" w14:textId="77777777" w:rsidR="00FE205F" w:rsidRDefault="00FE205F" w:rsidP="00802EFD">
            <w:pPr>
              <w:pStyle w:val="ListParagraph"/>
              <w:numPr>
                <w:ilvl w:val="0"/>
                <w:numId w:val="30"/>
              </w:numPr>
            </w:pPr>
            <w:r>
              <w:t xml:space="preserve">KVA will keep a log of when direct awards are made and when competitive tendering is used to map Commissioners approach </w:t>
            </w:r>
          </w:p>
          <w:p w14:paraId="56CA3446" w14:textId="77777777" w:rsidR="00FE205F" w:rsidRDefault="00FE205F" w:rsidP="00802EFD">
            <w:pPr>
              <w:pStyle w:val="ListParagraph"/>
              <w:numPr>
                <w:ilvl w:val="0"/>
                <w:numId w:val="30"/>
              </w:numPr>
            </w:pPr>
            <w:r>
              <w:t>This log will be shared with the wider community as a guide to issues which will influence Commissioners with a view to sub sector leads using this in discussions with Commissioners</w:t>
            </w:r>
          </w:p>
        </w:tc>
        <w:tc>
          <w:tcPr>
            <w:tcW w:w="1170" w:type="dxa"/>
          </w:tcPr>
          <w:p w14:paraId="264447EF" w14:textId="77777777" w:rsidR="00593C0E" w:rsidRDefault="00593C0E" w:rsidP="00F33209"/>
        </w:tc>
        <w:tc>
          <w:tcPr>
            <w:tcW w:w="1350" w:type="dxa"/>
          </w:tcPr>
          <w:p w14:paraId="248861E2" w14:textId="77777777" w:rsidR="00593C0E" w:rsidRDefault="00593C0E" w:rsidP="00F33209"/>
        </w:tc>
      </w:tr>
      <w:tr w:rsidR="00593C0E" w14:paraId="1C4CB665" w14:textId="77777777" w:rsidTr="0011345F">
        <w:tc>
          <w:tcPr>
            <w:tcW w:w="4428" w:type="dxa"/>
          </w:tcPr>
          <w:p w14:paraId="27103E38" w14:textId="77777777" w:rsidR="00593C0E" w:rsidRDefault="00E111ED" w:rsidP="00A671B5">
            <w:r>
              <w:t>O</w:t>
            </w:r>
            <w:r w:rsidR="00A671B5">
              <w:t>utcomes Based B</w:t>
            </w:r>
            <w:r>
              <w:t xml:space="preserve">udgeting </w:t>
            </w:r>
            <w:r w:rsidR="00A671B5">
              <w:t xml:space="preserve"> (OBB) </w:t>
            </w:r>
            <w:r>
              <w:t>and joint commissioning are fully developed and operational</w:t>
            </w:r>
          </w:p>
        </w:tc>
        <w:tc>
          <w:tcPr>
            <w:tcW w:w="6840" w:type="dxa"/>
          </w:tcPr>
          <w:p w14:paraId="352FA264" w14:textId="77777777" w:rsidR="00593C0E" w:rsidRDefault="00802EFD" w:rsidP="00802EFD">
            <w:pPr>
              <w:pStyle w:val="ListParagraph"/>
              <w:numPr>
                <w:ilvl w:val="0"/>
                <w:numId w:val="31"/>
              </w:numPr>
            </w:pPr>
            <w:r>
              <w:t>The outcomes for OBB will be shared within the community</w:t>
            </w:r>
          </w:p>
          <w:p w14:paraId="7F75AB12" w14:textId="77777777" w:rsidR="00802EFD" w:rsidRDefault="00802EFD" w:rsidP="00F33209"/>
        </w:tc>
        <w:tc>
          <w:tcPr>
            <w:tcW w:w="1170" w:type="dxa"/>
          </w:tcPr>
          <w:p w14:paraId="6030BC16" w14:textId="77777777" w:rsidR="00593C0E" w:rsidRDefault="00593C0E" w:rsidP="00F33209"/>
        </w:tc>
        <w:tc>
          <w:tcPr>
            <w:tcW w:w="1350" w:type="dxa"/>
          </w:tcPr>
          <w:p w14:paraId="48AC7D38" w14:textId="77777777" w:rsidR="00593C0E" w:rsidRDefault="00593C0E" w:rsidP="00F33209"/>
        </w:tc>
      </w:tr>
      <w:tr w:rsidR="00593C0E" w14:paraId="55224D86" w14:textId="77777777" w:rsidTr="0011345F">
        <w:tc>
          <w:tcPr>
            <w:tcW w:w="4428" w:type="dxa"/>
          </w:tcPr>
          <w:p w14:paraId="45FE0D7E" w14:textId="77777777" w:rsidR="00593C0E" w:rsidRDefault="00E111ED" w:rsidP="00F33209">
            <w:r>
              <w:t>Protocols are established to address potential conflicts of interest for Commissioners</w:t>
            </w:r>
          </w:p>
        </w:tc>
        <w:tc>
          <w:tcPr>
            <w:tcW w:w="6840" w:type="dxa"/>
          </w:tcPr>
          <w:p w14:paraId="3E587B95" w14:textId="77777777" w:rsidR="00593C0E" w:rsidRDefault="00802EFD" w:rsidP="00802EFD">
            <w:pPr>
              <w:pStyle w:val="ListParagraph"/>
              <w:numPr>
                <w:ilvl w:val="0"/>
                <w:numId w:val="32"/>
              </w:numPr>
            </w:pPr>
            <w:r>
              <w:t>A working group will be established to explore this issue and devise protocols which will be shared with the wider community</w:t>
            </w:r>
          </w:p>
        </w:tc>
        <w:tc>
          <w:tcPr>
            <w:tcW w:w="1170" w:type="dxa"/>
          </w:tcPr>
          <w:p w14:paraId="6389D0AE" w14:textId="77777777" w:rsidR="00593C0E" w:rsidRDefault="00593C0E" w:rsidP="00F33209"/>
        </w:tc>
        <w:tc>
          <w:tcPr>
            <w:tcW w:w="1350" w:type="dxa"/>
          </w:tcPr>
          <w:p w14:paraId="39177CFA" w14:textId="77777777" w:rsidR="00593C0E" w:rsidRDefault="00593C0E" w:rsidP="00F33209"/>
        </w:tc>
      </w:tr>
      <w:tr w:rsidR="00593C0E" w14:paraId="7571997A" w14:textId="77777777" w:rsidTr="0011345F">
        <w:tc>
          <w:tcPr>
            <w:tcW w:w="4428" w:type="dxa"/>
          </w:tcPr>
          <w:p w14:paraId="2004EB31" w14:textId="77777777" w:rsidR="00593C0E" w:rsidRDefault="00E111ED" w:rsidP="00F33209">
            <w:r>
              <w:t>Systems for demonstrating value and impact of work done by the VCS are devised</w:t>
            </w:r>
            <w:r w:rsidR="00802EFD">
              <w:t>, used and shared</w:t>
            </w:r>
          </w:p>
        </w:tc>
        <w:tc>
          <w:tcPr>
            <w:tcW w:w="6840" w:type="dxa"/>
          </w:tcPr>
          <w:p w14:paraId="77BF84A6" w14:textId="77777777" w:rsidR="00593C0E" w:rsidRDefault="00802EFD" w:rsidP="00802EFD">
            <w:pPr>
              <w:pStyle w:val="ListParagraph"/>
              <w:numPr>
                <w:ilvl w:val="0"/>
                <w:numId w:val="33"/>
              </w:numPr>
            </w:pPr>
            <w:r>
              <w:t>Examples of sharing value and impact will be gathered</w:t>
            </w:r>
          </w:p>
          <w:p w14:paraId="0950C9F2" w14:textId="77777777" w:rsidR="00802EFD" w:rsidRDefault="00802EFD" w:rsidP="00802EFD">
            <w:pPr>
              <w:pStyle w:val="ListParagraph"/>
              <w:numPr>
                <w:ilvl w:val="0"/>
                <w:numId w:val="33"/>
              </w:numPr>
            </w:pPr>
            <w:r>
              <w:t>These will then be shared widely in the community</w:t>
            </w:r>
          </w:p>
        </w:tc>
        <w:tc>
          <w:tcPr>
            <w:tcW w:w="1170" w:type="dxa"/>
          </w:tcPr>
          <w:p w14:paraId="7B600348" w14:textId="77777777" w:rsidR="00593C0E" w:rsidRDefault="00593C0E" w:rsidP="00F33209"/>
        </w:tc>
        <w:tc>
          <w:tcPr>
            <w:tcW w:w="1350" w:type="dxa"/>
          </w:tcPr>
          <w:p w14:paraId="2D6ACE1A" w14:textId="77777777" w:rsidR="00593C0E" w:rsidRDefault="00593C0E" w:rsidP="00F33209"/>
        </w:tc>
      </w:tr>
    </w:tbl>
    <w:p w14:paraId="2219DBF4" w14:textId="77777777" w:rsidR="00593C0E" w:rsidRDefault="00593C0E" w:rsidP="00593C0E">
      <w:pPr>
        <w:spacing w:after="0" w:line="240" w:lineRule="auto"/>
      </w:pPr>
    </w:p>
    <w:p w14:paraId="5517D237" w14:textId="77777777" w:rsidR="007D0B7A" w:rsidRDefault="007D0B7A" w:rsidP="00593C0E">
      <w:pPr>
        <w:spacing w:after="0" w:line="240" w:lineRule="auto"/>
        <w:rPr>
          <w:b/>
          <w:color w:val="FF33CC"/>
          <w:sz w:val="32"/>
          <w:szCs w:val="32"/>
        </w:rPr>
      </w:pPr>
    </w:p>
    <w:p w14:paraId="0DE87920" w14:textId="77777777" w:rsidR="007D0B7A" w:rsidRDefault="007D0B7A" w:rsidP="00593C0E">
      <w:pPr>
        <w:spacing w:after="0" w:line="240" w:lineRule="auto"/>
        <w:rPr>
          <w:b/>
          <w:color w:val="FF33CC"/>
          <w:sz w:val="32"/>
          <w:szCs w:val="32"/>
        </w:rPr>
      </w:pPr>
    </w:p>
    <w:p w14:paraId="2A7B7EBE" w14:textId="77777777" w:rsidR="00593C0E" w:rsidRDefault="00593C0E" w:rsidP="00593C0E">
      <w:pPr>
        <w:spacing w:after="0" w:line="240" w:lineRule="auto"/>
        <w:rPr>
          <w:b/>
          <w:color w:val="FF33CC"/>
          <w:sz w:val="32"/>
          <w:szCs w:val="32"/>
        </w:rPr>
      </w:pPr>
      <w:r w:rsidRPr="0011345F">
        <w:rPr>
          <w:b/>
          <w:color w:val="FF33CC"/>
          <w:sz w:val="32"/>
          <w:szCs w:val="32"/>
        </w:rPr>
        <w:t>Section Three – Increased Investment for the VCS</w:t>
      </w:r>
    </w:p>
    <w:p w14:paraId="5EBA08C0" w14:textId="77777777" w:rsidR="0011345F" w:rsidRDefault="0011345F" w:rsidP="00593C0E">
      <w:pPr>
        <w:spacing w:after="0" w:line="240" w:lineRule="auto"/>
        <w:rPr>
          <w:b/>
        </w:rPr>
      </w:pPr>
      <w:r>
        <w:rPr>
          <w:b/>
        </w:rPr>
        <w:t>We will devise models of working in partnership to maximise our potential for levering in funding to the community. This will include risk assessments, due diligence checks, sub-contracting models, troubleshooting systems, communications on competition protocols etc. We will work to increase early intervention work which avoids problems escalating and therefore makes the best use of scarce resources.</w:t>
      </w:r>
    </w:p>
    <w:p w14:paraId="21EEA3C4" w14:textId="77777777" w:rsidR="0011345F" w:rsidRPr="0011345F" w:rsidRDefault="0011345F" w:rsidP="00593C0E">
      <w:pPr>
        <w:spacing w:after="0" w:line="240" w:lineRule="auto"/>
        <w:rPr>
          <w:b/>
        </w:rPr>
      </w:pPr>
    </w:p>
    <w:tbl>
      <w:tblPr>
        <w:tblStyle w:val="TableGrid"/>
        <w:tblW w:w="0" w:type="auto"/>
        <w:tblLook w:val="04A0" w:firstRow="1" w:lastRow="0" w:firstColumn="1" w:lastColumn="0" w:noHBand="0" w:noVBand="1"/>
      </w:tblPr>
      <w:tblGrid>
        <w:gridCol w:w="4428"/>
        <w:gridCol w:w="6840"/>
        <w:gridCol w:w="1170"/>
        <w:gridCol w:w="1350"/>
      </w:tblGrid>
      <w:tr w:rsidR="00593C0E" w14:paraId="4896A49E" w14:textId="77777777" w:rsidTr="0011345F">
        <w:tc>
          <w:tcPr>
            <w:tcW w:w="4428" w:type="dxa"/>
          </w:tcPr>
          <w:p w14:paraId="5B0D4CE6" w14:textId="77777777" w:rsidR="00593C0E" w:rsidRDefault="00593C0E" w:rsidP="00F33209">
            <w:r>
              <w:t>Aims</w:t>
            </w:r>
          </w:p>
        </w:tc>
        <w:tc>
          <w:tcPr>
            <w:tcW w:w="6840" w:type="dxa"/>
          </w:tcPr>
          <w:p w14:paraId="284C0453" w14:textId="77777777" w:rsidR="00593C0E" w:rsidRDefault="00593C0E" w:rsidP="00F33209">
            <w:r>
              <w:t>Activities</w:t>
            </w:r>
          </w:p>
        </w:tc>
        <w:tc>
          <w:tcPr>
            <w:tcW w:w="1170" w:type="dxa"/>
          </w:tcPr>
          <w:p w14:paraId="074EA5CB" w14:textId="77777777" w:rsidR="00593C0E" w:rsidRDefault="00593C0E" w:rsidP="00F33209">
            <w:r>
              <w:t>Lead</w:t>
            </w:r>
          </w:p>
        </w:tc>
        <w:tc>
          <w:tcPr>
            <w:tcW w:w="1350" w:type="dxa"/>
          </w:tcPr>
          <w:p w14:paraId="6F3B14B7" w14:textId="77777777" w:rsidR="00593C0E" w:rsidRDefault="00593C0E" w:rsidP="00F33209">
            <w:r>
              <w:t>Timeframe</w:t>
            </w:r>
          </w:p>
        </w:tc>
      </w:tr>
      <w:tr w:rsidR="00593C0E" w14:paraId="0809902D" w14:textId="77777777" w:rsidTr="0011345F">
        <w:tc>
          <w:tcPr>
            <w:tcW w:w="4428" w:type="dxa"/>
          </w:tcPr>
          <w:p w14:paraId="56363037" w14:textId="77777777" w:rsidR="00593C0E" w:rsidRDefault="00E111ED" w:rsidP="00F33209">
            <w:r>
              <w:t>Networks are set up to support partnership working with a view to bidding for funds together</w:t>
            </w:r>
          </w:p>
        </w:tc>
        <w:tc>
          <w:tcPr>
            <w:tcW w:w="6840" w:type="dxa"/>
          </w:tcPr>
          <w:p w14:paraId="77E4A09E" w14:textId="77777777" w:rsidR="00593C0E" w:rsidRDefault="00802EFD" w:rsidP="00802EFD">
            <w:pPr>
              <w:pStyle w:val="ListParagraph"/>
              <w:numPr>
                <w:ilvl w:val="0"/>
                <w:numId w:val="34"/>
              </w:numPr>
            </w:pPr>
            <w:r>
              <w:t>Attending the Trustees Network to support setting up working relationships to underpin partnership working and shared bidding for funds.</w:t>
            </w:r>
          </w:p>
          <w:p w14:paraId="18F2CA28" w14:textId="77777777" w:rsidR="00802EFD" w:rsidRDefault="00802EFD" w:rsidP="00802EFD">
            <w:pPr>
              <w:pStyle w:val="ListParagraph"/>
              <w:numPr>
                <w:ilvl w:val="0"/>
                <w:numId w:val="34"/>
              </w:numPr>
            </w:pPr>
            <w:r>
              <w:t>Attending the Chief Officers network to support early troubleshooting on governance, HR and finance issues – particularly in relation to partnership working on funding</w:t>
            </w:r>
          </w:p>
        </w:tc>
        <w:tc>
          <w:tcPr>
            <w:tcW w:w="1170" w:type="dxa"/>
          </w:tcPr>
          <w:p w14:paraId="354224A4" w14:textId="77777777" w:rsidR="00593C0E" w:rsidRDefault="00593C0E" w:rsidP="00F33209"/>
        </w:tc>
        <w:tc>
          <w:tcPr>
            <w:tcW w:w="1350" w:type="dxa"/>
          </w:tcPr>
          <w:p w14:paraId="458485B0" w14:textId="77777777" w:rsidR="00593C0E" w:rsidRDefault="00593C0E" w:rsidP="00F33209"/>
        </w:tc>
      </w:tr>
      <w:tr w:rsidR="00593C0E" w14:paraId="7566CE63" w14:textId="77777777" w:rsidTr="0011345F">
        <w:tc>
          <w:tcPr>
            <w:tcW w:w="4428" w:type="dxa"/>
          </w:tcPr>
          <w:p w14:paraId="71ECBCA7" w14:textId="77777777" w:rsidR="00593C0E" w:rsidRDefault="00E111ED" w:rsidP="00F33209">
            <w:r>
              <w:t>Funding sources in addition to RBK  are identified and this knowledge is shared within the VCS</w:t>
            </w:r>
          </w:p>
        </w:tc>
        <w:tc>
          <w:tcPr>
            <w:tcW w:w="6840" w:type="dxa"/>
          </w:tcPr>
          <w:p w14:paraId="220E3640" w14:textId="77777777" w:rsidR="00593C0E" w:rsidRDefault="00802EFD" w:rsidP="00802EFD">
            <w:pPr>
              <w:pStyle w:val="ListParagraph"/>
              <w:numPr>
                <w:ilvl w:val="0"/>
                <w:numId w:val="35"/>
              </w:numPr>
            </w:pPr>
            <w:r>
              <w:t>Database of funding opportunities kept by KVA used by local agencies to find non RBK sources of funding</w:t>
            </w:r>
          </w:p>
        </w:tc>
        <w:tc>
          <w:tcPr>
            <w:tcW w:w="1170" w:type="dxa"/>
          </w:tcPr>
          <w:p w14:paraId="1643F82A" w14:textId="77777777" w:rsidR="00593C0E" w:rsidRDefault="00593C0E" w:rsidP="00F33209"/>
        </w:tc>
        <w:tc>
          <w:tcPr>
            <w:tcW w:w="1350" w:type="dxa"/>
          </w:tcPr>
          <w:p w14:paraId="48941E9A" w14:textId="77777777" w:rsidR="00593C0E" w:rsidRDefault="00593C0E" w:rsidP="00F33209"/>
        </w:tc>
      </w:tr>
      <w:tr w:rsidR="00593C0E" w14:paraId="3689713B" w14:textId="77777777" w:rsidTr="0011345F">
        <w:tc>
          <w:tcPr>
            <w:tcW w:w="4428" w:type="dxa"/>
          </w:tcPr>
          <w:p w14:paraId="0408A102" w14:textId="77777777" w:rsidR="00593C0E" w:rsidRDefault="00FE205F" w:rsidP="00F33209">
            <w:r>
              <w:t xml:space="preserve">Barriers to funding are identified </w:t>
            </w:r>
          </w:p>
        </w:tc>
        <w:tc>
          <w:tcPr>
            <w:tcW w:w="6840" w:type="dxa"/>
          </w:tcPr>
          <w:p w14:paraId="5A1572B6" w14:textId="77777777" w:rsidR="00593C0E" w:rsidRDefault="00802EFD" w:rsidP="00802EFD">
            <w:pPr>
              <w:pStyle w:val="ListParagraph"/>
              <w:numPr>
                <w:ilvl w:val="0"/>
                <w:numId w:val="36"/>
              </w:numPr>
            </w:pPr>
            <w:r>
              <w:t>Group set up to identify barriers to seeking non RBK funds</w:t>
            </w:r>
          </w:p>
        </w:tc>
        <w:tc>
          <w:tcPr>
            <w:tcW w:w="1170" w:type="dxa"/>
          </w:tcPr>
          <w:p w14:paraId="03DE97AC" w14:textId="77777777" w:rsidR="00593C0E" w:rsidRDefault="00593C0E" w:rsidP="00F33209"/>
        </w:tc>
        <w:tc>
          <w:tcPr>
            <w:tcW w:w="1350" w:type="dxa"/>
          </w:tcPr>
          <w:p w14:paraId="0D6D5603" w14:textId="77777777" w:rsidR="00593C0E" w:rsidRDefault="00593C0E" w:rsidP="00F33209"/>
        </w:tc>
      </w:tr>
      <w:tr w:rsidR="00593C0E" w14:paraId="3778B66F" w14:textId="77777777" w:rsidTr="0011345F">
        <w:tc>
          <w:tcPr>
            <w:tcW w:w="4428" w:type="dxa"/>
          </w:tcPr>
          <w:p w14:paraId="51C9AA7E" w14:textId="77777777" w:rsidR="00593C0E" w:rsidRDefault="00FE205F" w:rsidP="00593C0E">
            <w:r>
              <w:t>Creative solutions to overcoming these barriers are devised</w:t>
            </w:r>
          </w:p>
        </w:tc>
        <w:tc>
          <w:tcPr>
            <w:tcW w:w="6840" w:type="dxa"/>
          </w:tcPr>
          <w:p w14:paraId="409E773E" w14:textId="77777777" w:rsidR="00593C0E" w:rsidRDefault="00802EFD" w:rsidP="00802EFD">
            <w:pPr>
              <w:pStyle w:val="ListParagraph"/>
              <w:numPr>
                <w:ilvl w:val="0"/>
                <w:numId w:val="37"/>
              </w:numPr>
            </w:pPr>
            <w:r>
              <w:t>Ideas noted to overcome these barriers and a report done and shared with the wider community</w:t>
            </w:r>
          </w:p>
        </w:tc>
        <w:tc>
          <w:tcPr>
            <w:tcW w:w="1170" w:type="dxa"/>
          </w:tcPr>
          <w:p w14:paraId="1A516CB4" w14:textId="77777777" w:rsidR="00593C0E" w:rsidRDefault="00593C0E" w:rsidP="00F33209"/>
        </w:tc>
        <w:tc>
          <w:tcPr>
            <w:tcW w:w="1350" w:type="dxa"/>
          </w:tcPr>
          <w:p w14:paraId="40C3ED70" w14:textId="77777777" w:rsidR="00593C0E" w:rsidRDefault="00593C0E" w:rsidP="00F33209"/>
        </w:tc>
      </w:tr>
      <w:tr w:rsidR="00593C0E" w14:paraId="6370EF58" w14:textId="77777777" w:rsidTr="0011345F">
        <w:tc>
          <w:tcPr>
            <w:tcW w:w="4428" w:type="dxa"/>
          </w:tcPr>
          <w:p w14:paraId="2CFB8483" w14:textId="77777777" w:rsidR="00593C0E" w:rsidRDefault="00FE205F" w:rsidP="00F33209">
            <w:r>
              <w:t>A log of funding from RBK to local groups is set up and maintained and shared within the community</w:t>
            </w:r>
          </w:p>
        </w:tc>
        <w:tc>
          <w:tcPr>
            <w:tcW w:w="6840" w:type="dxa"/>
          </w:tcPr>
          <w:p w14:paraId="4817544E" w14:textId="77777777" w:rsidR="00593C0E" w:rsidRDefault="00802EFD" w:rsidP="00802EFD">
            <w:pPr>
              <w:pStyle w:val="ListParagraph"/>
              <w:numPr>
                <w:ilvl w:val="0"/>
                <w:numId w:val="38"/>
              </w:numPr>
            </w:pPr>
            <w:r>
              <w:t>Information gathered from RBK and set out in a way that can be easily updated and shared within the wider community</w:t>
            </w:r>
          </w:p>
        </w:tc>
        <w:tc>
          <w:tcPr>
            <w:tcW w:w="1170" w:type="dxa"/>
          </w:tcPr>
          <w:p w14:paraId="420A0F73" w14:textId="77777777" w:rsidR="00593C0E" w:rsidRDefault="00593C0E" w:rsidP="00F33209"/>
        </w:tc>
        <w:tc>
          <w:tcPr>
            <w:tcW w:w="1350" w:type="dxa"/>
          </w:tcPr>
          <w:p w14:paraId="16FF83D3" w14:textId="77777777" w:rsidR="00593C0E" w:rsidRDefault="00593C0E" w:rsidP="00F33209"/>
        </w:tc>
      </w:tr>
    </w:tbl>
    <w:p w14:paraId="7E9AFDEC" w14:textId="77777777" w:rsidR="0011345F" w:rsidRDefault="0011345F" w:rsidP="00593C0E">
      <w:pPr>
        <w:spacing w:after="0" w:line="240" w:lineRule="auto"/>
      </w:pPr>
    </w:p>
    <w:sectPr w:rsidR="0011345F" w:rsidSect="00023C4C">
      <w:headerReference w:type="default" r:id="rId13"/>
      <w:foot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725C6" w14:textId="77777777" w:rsidR="007F0D3C" w:rsidRDefault="007F0D3C" w:rsidP="006C7DA5">
      <w:pPr>
        <w:spacing w:after="0" w:line="240" w:lineRule="auto"/>
      </w:pPr>
      <w:r>
        <w:separator/>
      </w:r>
    </w:p>
  </w:endnote>
  <w:endnote w:type="continuationSeparator" w:id="0">
    <w:p w14:paraId="5DB44CAF" w14:textId="77777777" w:rsidR="007F0D3C" w:rsidRDefault="007F0D3C" w:rsidP="006C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47"/>
      <w:gridCol w:w="12511"/>
    </w:tblGrid>
    <w:tr w:rsidR="00E74774" w14:paraId="725B594B" w14:textId="77777777">
      <w:tc>
        <w:tcPr>
          <w:tcW w:w="918" w:type="dxa"/>
        </w:tcPr>
        <w:p w14:paraId="52CCC2E7" w14:textId="77777777" w:rsidR="00E74774" w:rsidRDefault="00E7477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A512A4" w:rsidRPr="00A512A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45DED0A" w14:textId="77777777" w:rsidR="00E74774" w:rsidRPr="00E74774" w:rsidRDefault="005D78ED">
          <w:pPr>
            <w:pStyle w:val="Footer"/>
            <w:rPr>
              <w:color w:val="FF33CC"/>
              <w:sz w:val="32"/>
              <w:szCs w:val="32"/>
            </w:rPr>
          </w:pPr>
          <w:r>
            <w:rPr>
              <w:color w:val="FF33CC"/>
              <w:sz w:val="32"/>
              <w:szCs w:val="32"/>
            </w:rPr>
            <w:t xml:space="preserve">Updated November </w:t>
          </w:r>
          <w:r w:rsidR="00E74774" w:rsidRPr="00E74774">
            <w:rPr>
              <w:color w:val="FF33CC"/>
              <w:sz w:val="32"/>
              <w:szCs w:val="32"/>
            </w:rPr>
            <w:t>2016</w:t>
          </w:r>
        </w:p>
      </w:tc>
    </w:tr>
  </w:tbl>
  <w:p w14:paraId="357D8915" w14:textId="77777777" w:rsidR="006C7DA5" w:rsidRDefault="006C7D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B02EE" w14:textId="77777777" w:rsidR="007F0D3C" w:rsidRDefault="007F0D3C" w:rsidP="006C7DA5">
      <w:pPr>
        <w:spacing w:after="0" w:line="240" w:lineRule="auto"/>
      </w:pPr>
      <w:r>
        <w:separator/>
      </w:r>
    </w:p>
  </w:footnote>
  <w:footnote w:type="continuationSeparator" w:id="0">
    <w:p w14:paraId="3BC9F367" w14:textId="77777777" w:rsidR="007F0D3C" w:rsidRDefault="007F0D3C" w:rsidP="006C7D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219"/>
      <w:gridCol w:w="1739"/>
    </w:tblGrid>
    <w:tr w:rsidR="00E74774" w14:paraId="2FD7B3E6" w14:textId="77777777" w:rsidTr="00E74774">
      <w:trPr>
        <w:trHeight w:val="288"/>
      </w:trPr>
      <w:tc>
        <w:tcPr>
          <w:tcW w:w="8103" w:type="dxa"/>
        </w:tcPr>
        <w:p w14:paraId="2BF6B734" w14:textId="77777777" w:rsidR="00E74774" w:rsidRDefault="003E2D15" w:rsidP="00E74774">
          <w:pPr>
            <w:pStyle w:val="Header"/>
            <w:jc w:val="right"/>
            <w:rPr>
              <w:rFonts w:asciiTheme="majorHAnsi" w:eastAsiaTheme="majorEastAsia" w:hAnsiTheme="majorHAnsi" w:cstheme="majorBidi"/>
              <w:sz w:val="36"/>
              <w:szCs w:val="36"/>
            </w:rPr>
          </w:pPr>
          <w: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GB"/>
            </w:rPr>
            <w:drawing>
              <wp:inline distT="0" distB="0" distL="0" distR="0" wp14:anchorId="551D9A48" wp14:editId="6BB49ADD">
                <wp:extent cx="1524000" cy="571500"/>
                <wp:effectExtent l="0" t="0" r="0" b="0"/>
                <wp:docPr id="6" name="Picture 1" descr="VC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1153" w:type="dxa"/>
        </w:tcPr>
        <w:p w14:paraId="32DEFE8A" w14:textId="77777777" w:rsidR="00E74774" w:rsidRDefault="00E74774" w:rsidP="00E74774">
          <w:pPr>
            <w:pStyle w:val="Header"/>
            <w:rPr>
              <w:rFonts w:asciiTheme="majorHAnsi" w:eastAsiaTheme="majorEastAsia" w:hAnsiTheme="majorHAnsi" w:cstheme="majorBidi"/>
              <w:b/>
              <w:bCs/>
              <w:color w:val="4F81BD" w:themeColor="accent1"/>
              <w:sz w:val="36"/>
              <w:szCs w:val="36"/>
              <w14:numForm w14:val="oldStyle"/>
            </w:rPr>
          </w:pPr>
        </w:p>
      </w:tc>
    </w:tr>
  </w:tbl>
  <w:p w14:paraId="011D4823" w14:textId="77777777" w:rsidR="006C7DA5" w:rsidRDefault="006C7D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6A08"/>
    <w:multiLevelType w:val="hybridMultilevel"/>
    <w:tmpl w:val="47AE3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A5748"/>
    <w:multiLevelType w:val="hybridMultilevel"/>
    <w:tmpl w:val="4EE4D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47025"/>
    <w:multiLevelType w:val="hybridMultilevel"/>
    <w:tmpl w:val="DBBA0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8546A"/>
    <w:multiLevelType w:val="hybridMultilevel"/>
    <w:tmpl w:val="53D81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D87E9F"/>
    <w:multiLevelType w:val="hybridMultilevel"/>
    <w:tmpl w:val="09FA2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581D58"/>
    <w:multiLevelType w:val="hybridMultilevel"/>
    <w:tmpl w:val="FE0A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24A05"/>
    <w:multiLevelType w:val="hybridMultilevel"/>
    <w:tmpl w:val="E964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CA54C6"/>
    <w:multiLevelType w:val="hybridMultilevel"/>
    <w:tmpl w:val="F078F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38184F"/>
    <w:multiLevelType w:val="hybridMultilevel"/>
    <w:tmpl w:val="8F5C3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D521DB"/>
    <w:multiLevelType w:val="hybridMultilevel"/>
    <w:tmpl w:val="E9645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EB6188"/>
    <w:multiLevelType w:val="hybridMultilevel"/>
    <w:tmpl w:val="BB961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B35B81"/>
    <w:multiLevelType w:val="hybridMultilevel"/>
    <w:tmpl w:val="65CCA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AA3E9D"/>
    <w:multiLevelType w:val="hybridMultilevel"/>
    <w:tmpl w:val="DCECC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9730FF"/>
    <w:multiLevelType w:val="hybridMultilevel"/>
    <w:tmpl w:val="E3D6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C758B4"/>
    <w:multiLevelType w:val="hybridMultilevel"/>
    <w:tmpl w:val="F3E63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010957"/>
    <w:multiLevelType w:val="hybridMultilevel"/>
    <w:tmpl w:val="00CE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5033D2"/>
    <w:multiLevelType w:val="hybridMultilevel"/>
    <w:tmpl w:val="A2540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5277E0"/>
    <w:multiLevelType w:val="hybridMultilevel"/>
    <w:tmpl w:val="2A205376"/>
    <w:lvl w:ilvl="0" w:tplc="2EF03D2A">
      <w:start w:val="1"/>
      <w:numFmt w:val="decimal"/>
      <w:lvlText w:val="%1."/>
      <w:lvlJc w:val="left"/>
      <w:pPr>
        <w:ind w:left="720" w:hanging="360"/>
      </w:pPr>
    </w:lvl>
    <w:lvl w:ilvl="1" w:tplc="036CC9C0">
      <w:start w:val="1"/>
      <w:numFmt w:val="lowerLetter"/>
      <w:lvlText w:val="%2."/>
      <w:lvlJc w:val="left"/>
      <w:pPr>
        <w:ind w:left="1440" w:hanging="360"/>
      </w:pPr>
    </w:lvl>
    <w:lvl w:ilvl="2" w:tplc="6C3A87A6">
      <w:start w:val="1"/>
      <w:numFmt w:val="lowerRoman"/>
      <w:lvlText w:val="%3."/>
      <w:lvlJc w:val="right"/>
      <w:pPr>
        <w:ind w:left="2160" w:hanging="180"/>
      </w:pPr>
    </w:lvl>
    <w:lvl w:ilvl="3" w:tplc="6D2E1448">
      <w:start w:val="1"/>
      <w:numFmt w:val="decimal"/>
      <w:lvlText w:val="%4."/>
      <w:lvlJc w:val="left"/>
      <w:pPr>
        <w:ind w:left="2880" w:hanging="360"/>
      </w:pPr>
    </w:lvl>
    <w:lvl w:ilvl="4" w:tplc="6BB22276">
      <w:start w:val="1"/>
      <w:numFmt w:val="lowerLetter"/>
      <w:lvlText w:val="%5."/>
      <w:lvlJc w:val="left"/>
      <w:pPr>
        <w:ind w:left="3600" w:hanging="360"/>
      </w:pPr>
    </w:lvl>
    <w:lvl w:ilvl="5" w:tplc="8130AC6C">
      <w:start w:val="1"/>
      <w:numFmt w:val="lowerRoman"/>
      <w:lvlText w:val="%6."/>
      <w:lvlJc w:val="right"/>
      <w:pPr>
        <w:ind w:left="4320" w:hanging="180"/>
      </w:pPr>
    </w:lvl>
    <w:lvl w:ilvl="6" w:tplc="1A14C62C">
      <w:start w:val="1"/>
      <w:numFmt w:val="decimal"/>
      <w:lvlText w:val="%7."/>
      <w:lvlJc w:val="left"/>
      <w:pPr>
        <w:ind w:left="5040" w:hanging="360"/>
      </w:pPr>
    </w:lvl>
    <w:lvl w:ilvl="7" w:tplc="438EEED4">
      <w:start w:val="1"/>
      <w:numFmt w:val="lowerLetter"/>
      <w:lvlText w:val="%8."/>
      <w:lvlJc w:val="left"/>
      <w:pPr>
        <w:ind w:left="5760" w:hanging="360"/>
      </w:pPr>
    </w:lvl>
    <w:lvl w:ilvl="8" w:tplc="F8963C70">
      <w:start w:val="1"/>
      <w:numFmt w:val="lowerRoman"/>
      <w:lvlText w:val="%9."/>
      <w:lvlJc w:val="right"/>
      <w:pPr>
        <w:ind w:left="6480" w:hanging="180"/>
      </w:pPr>
    </w:lvl>
  </w:abstractNum>
  <w:abstractNum w:abstractNumId="18">
    <w:nsid w:val="326D32A8"/>
    <w:multiLevelType w:val="hybridMultilevel"/>
    <w:tmpl w:val="47AE3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D723B6"/>
    <w:multiLevelType w:val="hybridMultilevel"/>
    <w:tmpl w:val="90A69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5502B8"/>
    <w:multiLevelType w:val="hybridMultilevel"/>
    <w:tmpl w:val="A0FC7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671BAE"/>
    <w:multiLevelType w:val="hybridMultilevel"/>
    <w:tmpl w:val="3FEA4A22"/>
    <w:lvl w:ilvl="0" w:tplc="84FE85A6">
      <w:start w:val="1"/>
      <w:numFmt w:val="decimal"/>
      <w:lvlText w:val="%1."/>
      <w:lvlJc w:val="left"/>
      <w:pPr>
        <w:ind w:left="720" w:hanging="360"/>
      </w:pPr>
    </w:lvl>
    <w:lvl w:ilvl="1" w:tplc="C17A0E3E">
      <w:start w:val="1"/>
      <w:numFmt w:val="lowerLetter"/>
      <w:lvlText w:val="%2."/>
      <w:lvlJc w:val="left"/>
      <w:pPr>
        <w:ind w:left="1440" w:hanging="360"/>
      </w:pPr>
    </w:lvl>
    <w:lvl w:ilvl="2" w:tplc="E5A0D4DE">
      <w:start w:val="1"/>
      <w:numFmt w:val="lowerRoman"/>
      <w:lvlText w:val="%3."/>
      <w:lvlJc w:val="right"/>
      <w:pPr>
        <w:ind w:left="2160" w:hanging="180"/>
      </w:pPr>
    </w:lvl>
    <w:lvl w:ilvl="3" w:tplc="F19201E8">
      <w:start w:val="1"/>
      <w:numFmt w:val="decimal"/>
      <w:lvlText w:val="%4."/>
      <w:lvlJc w:val="left"/>
      <w:pPr>
        <w:ind w:left="2880" w:hanging="360"/>
      </w:pPr>
    </w:lvl>
    <w:lvl w:ilvl="4" w:tplc="5B3EEFF4">
      <w:start w:val="1"/>
      <w:numFmt w:val="lowerLetter"/>
      <w:lvlText w:val="%5."/>
      <w:lvlJc w:val="left"/>
      <w:pPr>
        <w:ind w:left="3600" w:hanging="360"/>
      </w:pPr>
    </w:lvl>
    <w:lvl w:ilvl="5" w:tplc="24262D8A">
      <w:start w:val="1"/>
      <w:numFmt w:val="lowerRoman"/>
      <w:lvlText w:val="%6."/>
      <w:lvlJc w:val="right"/>
      <w:pPr>
        <w:ind w:left="4320" w:hanging="180"/>
      </w:pPr>
    </w:lvl>
    <w:lvl w:ilvl="6" w:tplc="7C9E2456">
      <w:start w:val="1"/>
      <w:numFmt w:val="decimal"/>
      <w:lvlText w:val="%7."/>
      <w:lvlJc w:val="left"/>
      <w:pPr>
        <w:ind w:left="5040" w:hanging="360"/>
      </w:pPr>
    </w:lvl>
    <w:lvl w:ilvl="7" w:tplc="6AA82498">
      <w:start w:val="1"/>
      <w:numFmt w:val="lowerLetter"/>
      <w:lvlText w:val="%8."/>
      <w:lvlJc w:val="left"/>
      <w:pPr>
        <w:ind w:left="5760" w:hanging="360"/>
      </w:pPr>
    </w:lvl>
    <w:lvl w:ilvl="8" w:tplc="46F20670">
      <w:start w:val="1"/>
      <w:numFmt w:val="lowerRoman"/>
      <w:lvlText w:val="%9."/>
      <w:lvlJc w:val="right"/>
      <w:pPr>
        <w:ind w:left="6480" w:hanging="180"/>
      </w:pPr>
    </w:lvl>
  </w:abstractNum>
  <w:abstractNum w:abstractNumId="22">
    <w:nsid w:val="37EF0E68"/>
    <w:multiLevelType w:val="hybridMultilevel"/>
    <w:tmpl w:val="966A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B73670"/>
    <w:multiLevelType w:val="hybridMultilevel"/>
    <w:tmpl w:val="43406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4B5A92"/>
    <w:multiLevelType w:val="hybridMultilevel"/>
    <w:tmpl w:val="56BA8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FCB0753"/>
    <w:multiLevelType w:val="hybridMultilevel"/>
    <w:tmpl w:val="7AA45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0C45D0"/>
    <w:multiLevelType w:val="hybridMultilevel"/>
    <w:tmpl w:val="F1A0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2A4D39"/>
    <w:multiLevelType w:val="hybridMultilevel"/>
    <w:tmpl w:val="A0FC7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C0641D"/>
    <w:multiLevelType w:val="hybridMultilevel"/>
    <w:tmpl w:val="011E5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66A73AD"/>
    <w:multiLevelType w:val="hybridMultilevel"/>
    <w:tmpl w:val="FF34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20D4563"/>
    <w:multiLevelType w:val="hybridMultilevel"/>
    <w:tmpl w:val="46046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8F5985"/>
    <w:multiLevelType w:val="hybridMultilevel"/>
    <w:tmpl w:val="4382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9A66EE"/>
    <w:multiLevelType w:val="hybridMultilevel"/>
    <w:tmpl w:val="38048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EA1E03"/>
    <w:multiLevelType w:val="hybridMultilevel"/>
    <w:tmpl w:val="B4FE0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CE30E4"/>
    <w:multiLevelType w:val="hybridMultilevel"/>
    <w:tmpl w:val="A2540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BF3923"/>
    <w:multiLevelType w:val="hybridMultilevel"/>
    <w:tmpl w:val="5D24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E10205"/>
    <w:multiLevelType w:val="hybridMultilevel"/>
    <w:tmpl w:val="5A1C7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8233657"/>
    <w:multiLevelType w:val="hybridMultilevel"/>
    <w:tmpl w:val="F7F64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7"/>
  </w:num>
  <w:num w:numId="3">
    <w:abstractNumId w:val="2"/>
  </w:num>
  <w:num w:numId="4">
    <w:abstractNumId w:val="11"/>
  </w:num>
  <w:num w:numId="5">
    <w:abstractNumId w:val="15"/>
  </w:num>
  <w:num w:numId="6">
    <w:abstractNumId w:val="33"/>
  </w:num>
  <w:num w:numId="7">
    <w:abstractNumId w:val="36"/>
  </w:num>
  <w:num w:numId="8">
    <w:abstractNumId w:val="31"/>
  </w:num>
  <w:num w:numId="9">
    <w:abstractNumId w:val="1"/>
  </w:num>
  <w:num w:numId="10">
    <w:abstractNumId w:val="8"/>
  </w:num>
  <w:num w:numId="11">
    <w:abstractNumId w:val="32"/>
  </w:num>
  <w:num w:numId="12">
    <w:abstractNumId w:val="23"/>
  </w:num>
  <w:num w:numId="13">
    <w:abstractNumId w:val="28"/>
  </w:num>
  <w:num w:numId="14">
    <w:abstractNumId w:val="19"/>
  </w:num>
  <w:num w:numId="15">
    <w:abstractNumId w:val="5"/>
  </w:num>
  <w:num w:numId="16">
    <w:abstractNumId w:val="29"/>
  </w:num>
  <w:num w:numId="17">
    <w:abstractNumId w:val="37"/>
  </w:num>
  <w:num w:numId="18">
    <w:abstractNumId w:val="4"/>
  </w:num>
  <w:num w:numId="19">
    <w:abstractNumId w:val="3"/>
  </w:num>
  <w:num w:numId="20">
    <w:abstractNumId w:val="14"/>
  </w:num>
  <w:num w:numId="21">
    <w:abstractNumId w:val="35"/>
  </w:num>
  <w:num w:numId="22">
    <w:abstractNumId w:val="22"/>
  </w:num>
  <w:num w:numId="23">
    <w:abstractNumId w:val="10"/>
  </w:num>
  <w:num w:numId="24">
    <w:abstractNumId w:val="13"/>
  </w:num>
  <w:num w:numId="25">
    <w:abstractNumId w:val="12"/>
  </w:num>
  <w:num w:numId="26">
    <w:abstractNumId w:val="7"/>
  </w:num>
  <w:num w:numId="27">
    <w:abstractNumId w:val="27"/>
  </w:num>
  <w:num w:numId="28">
    <w:abstractNumId w:val="20"/>
  </w:num>
  <w:num w:numId="29">
    <w:abstractNumId w:val="34"/>
  </w:num>
  <w:num w:numId="30">
    <w:abstractNumId w:val="16"/>
  </w:num>
  <w:num w:numId="31">
    <w:abstractNumId w:val="24"/>
  </w:num>
  <w:num w:numId="32">
    <w:abstractNumId w:val="0"/>
  </w:num>
  <w:num w:numId="33">
    <w:abstractNumId w:val="18"/>
  </w:num>
  <w:num w:numId="34">
    <w:abstractNumId w:val="30"/>
  </w:num>
  <w:num w:numId="35">
    <w:abstractNumId w:val="25"/>
  </w:num>
  <w:num w:numId="36">
    <w:abstractNumId w:val="26"/>
  </w:num>
  <w:num w:numId="37">
    <w:abstractNumId w:val="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98"/>
    <w:rsid w:val="00022FAD"/>
    <w:rsid w:val="00023C4C"/>
    <w:rsid w:val="00063E70"/>
    <w:rsid w:val="00084B39"/>
    <w:rsid w:val="0009597E"/>
    <w:rsid w:val="000A6C4E"/>
    <w:rsid w:val="000C78E9"/>
    <w:rsid w:val="00102DA1"/>
    <w:rsid w:val="0010715B"/>
    <w:rsid w:val="0011345F"/>
    <w:rsid w:val="00116FCA"/>
    <w:rsid w:val="00163E94"/>
    <w:rsid w:val="001662A1"/>
    <w:rsid w:val="001A11A7"/>
    <w:rsid w:val="001B0DE4"/>
    <w:rsid w:val="001B5F50"/>
    <w:rsid w:val="001F47FA"/>
    <w:rsid w:val="00202ED4"/>
    <w:rsid w:val="00254A35"/>
    <w:rsid w:val="00261C31"/>
    <w:rsid w:val="002843D1"/>
    <w:rsid w:val="00292A8A"/>
    <w:rsid w:val="00295B27"/>
    <w:rsid w:val="002C1F44"/>
    <w:rsid w:val="002D2F12"/>
    <w:rsid w:val="002D4E91"/>
    <w:rsid w:val="002E485D"/>
    <w:rsid w:val="003824AF"/>
    <w:rsid w:val="00382573"/>
    <w:rsid w:val="00385E39"/>
    <w:rsid w:val="003C2DFE"/>
    <w:rsid w:val="003C4EDB"/>
    <w:rsid w:val="003D3500"/>
    <w:rsid w:val="003D3B05"/>
    <w:rsid w:val="003D523F"/>
    <w:rsid w:val="003E2D15"/>
    <w:rsid w:val="004054E1"/>
    <w:rsid w:val="00420ABE"/>
    <w:rsid w:val="00472B93"/>
    <w:rsid w:val="004879A1"/>
    <w:rsid w:val="004E4BBC"/>
    <w:rsid w:val="005158D1"/>
    <w:rsid w:val="00522BD6"/>
    <w:rsid w:val="00593C0E"/>
    <w:rsid w:val="00595A5A"/>
    <w:rsid w:val="005A3F09"/>
    <w:rsid w:val="005B43FF"/>
    <w:rsid w:val="005D78ED"/>
    <w:rsid w:val="005E6B12"/>
    <w:rsid w:val="00632D76"/>
    <w:rsid w:val="00647F2C"/>
    <w:rsid w:val="00656C32"/>
    <w:rsid w:val="006C7DA5"/>
    <w:rsid w:val="00716BEC"/>
    <w:rsid w:val="00725A5C"/>
    <w:rsid w:val="007912B7"/>
    <w:rsid w:val="007D0B7A"/>
    <w:rsid w:val="007F0D3C"/>
    <w:rsid w:val="007F246A"/>
    <w:rsid w:val="007F24A7"/>
    <w:rsid w:val="00802EFD"/>
    <w:rsid w:val="00826DA7"/>
    <w:rsid w:val="00842300"/>
    <w:rsid w:val="00873313"/>
    <w:rsid w:val="00886E54"/>
    <w:rsid w:val="008A1141"/>
    <w:rsid w:val="008B577D"/>
    <w:rsid w:val="008B7B4B"/>
    <w:rsid w:val="008F27E2"/>
    <w:rsid w:val="00911B79"/>
    <w:rsid w:val="0092495D"/>
    <w:rsid w:val="00927BF5"/>
    <w:rsid w:val="00935FFC"/>
    <w:rsid w:val="00940724"/>
    <w:rsid w:val="0095599F"/>
    <w:rsid w:val="009839FF"/>
    <w:rsid w:val="0098580E"/>
    <w:rsid w:val="009860CD"/>
    <w:rsid w:val="009979EC"/>
    <w:rsid w:val="009A3E97"/>
    <w:rsid w:val="009F50F1"/>
    <w:rsid w:val="00A323E1"/>
    <w:rsid w:val="00A458F2"/>
    <w:rsid w:val="00A512A4"/>
    <w:rsid w:val="00A52F9E"/>
    <w:rsid w:val="00A534FB"/>
    <w:rsid w:val="00A671B5"/>
    <w:rsid w:val="00A72BA1"/>
    <w:rsid w:val="00AA2BB3"/>
    <w:rsid w:val="00AA684C"/>
    <w:rsid w:val="00AB0911"/>
    <w:rsid w:val="00B07A8F"/>
    <w:rsid w:val="00B12672"/>
    <w:rsid w:val="00B631C8"/>
    <w:rsid w:val="00B64597"/>
    <w:rsid w:val="00B67C1C"/>
    <w:rsid w:val="00C06396"/>
    <w:rsid w:val="00C10BB5"/>
    <w:rsid w:val="00C82089"/>
    <w:rsid w:val="00C823B3"/>
    <w:rsid w:val="00CA558F"/>
    <w:rsid w:val="00CA68EA"/>
    <w:rsid w:val="00CC5115"/>
    <w:rsid w:val="00CD7064"/>
    <w:rsid w:val="00CF316E"/>
    <w:rsid w:val="00D635AA"/>
    <w:rsid w:val="00DB1422"/>
    <w:rsid w:val="00DC5291"/>
    <w:rsid w:val="00DD0EDE"/>
    <w:rsid w:val="00DF1724"/>
    <w:rsid w:val="00E07F5C"/>
    <w:rsid w:val="00E111ED"/>
    <w:rsid w:val="00E42E87"/>
    <w:rsid w:val="00E55718"/>
    <w:rsid w:val="00E56B2F"/>
    <w:rsid w:val="00E64C90"/>
    <w:rsid w:val="00E74774"/>
    <w:rsid w:val="00EF68B2"/>
    <w:rsid w:val="00F329A9"/>
    <w:rsid w:val="00F847E5"/>
    <w:rsid w:val="00F848B4"/>
    <w:rsid w:val="00FB2021"/>
    <w:rsid w:val="00FC7C98"/>
    <w:rsid w:val="00FD279A"/>
    <w:rsid w:val="00FD565D"/>
    <w:rsid w:val="00FE205F"/>
    <w:rsid w:val="3410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55E060"/>
  <w15:docId w15:val="{22D35D2E-F32F-4881-8CA2-45E44A49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C90"/>
    <w:pPr>
      <w:ind w:left="720"/>
      <w:contextualSpacing/>
    </w:pPr>
  </w:style>
  <w:style w:type="paragraph" w:styleId="Header">
    <w:name w:val="header"/>
    <w:basedOn w:val="Normal"/>
    <w:link w:val="HeaderChar"/>
    <w:uiPriority w:val="99"/>
    <w:unhideWhenUsed/>
    <w:rsid w:val="006C7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DA5"/>
  </w:style>
  <w:style w:type="paragraph" w:styleId="Footer">
    <w:name w:val="footer"/>
    <w:basedOn w:val="Normal"/>
    <w:link w:val="FooterChar"/>
    <w:uiPriority w:val="99"/>
    <w:unhideWhenUsed/>
    <w:rsid w:val="006C7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DA5"/>
  </w:style>
  <w:style w:type="paragraph" w:styleId="BalloonText">
    <w:name w:val="Balloon Text"/>
    <w:basedOn w:val="Normal"/>
    <w:link w:val="BalloonTextChar"/>
    <w:uiPriority w:val="99"/>
    <w:semiHidden/>
    <w:unhideWhenUsed/>
    <w:rsid w:val="00924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5D"/>
    <w:rPr>
      <w:rFonts w:ascii="Tahoma" w:hAnsi="Tahoma" w:cs="Tahoma"/>
      <w:sz w:val="16"/>
      <w:szCs w:val="16"/>
    </w:rPr>
  </w:style>
  <w:style w:type="table" w:styleId="TableGrid">
    <w:name w:val="Table Grid"/>
    <w:basedOn w:val="TableNormal"/>
    <w:uiPriority w:val="59"/>
    <w:rsid w:val="00593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23C4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23C4C"/>
    <w:rPr>
      <w:rFonts w:eastAsiaTheme="minorEastAsia"/>
      <w:lang w:val="en-US" w:eastAsia="ja-JP"/>
    </w:rPr>
  </w:style>
  <w:style w:type="paragraph" w:styleId="FootnoteText">
    <w:name w:val="footnote text"/>
    <w:basedOn w:val="Normal"/>
    <w:link w:val="FootnoteTextChar"/>
    <w:uiPriority w:val="99"/>
    <w:semiHidden/>
    <w:unhideWhenUsed/>
    <w:rsid w:val="005D7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8ED"/>
    <w:rPr>
      <w:sz w:val="20"/>
      <w:szCs w:val="20"/>
    </w:rPr>
  </w:style>
  <w:style w:type="character" w:styleId="FootnoteReference">
    <w:name w:val="footnote reference"/>
    <w:basedOn w:val="DefaultParagraphFont"/>
    <w:uiPriority w:val="99"/>
    <w:semiHidden/>
    <w:unhideWhenUsed/>
    <w:rsid w:val="005D7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Update of the Voluntary and Community Sector Strategy which was adopted in Kingston in 2014 by all political parties, the Clinical Commissioning Group and the Voluntary Sector.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fff7717b-19ca-4d54-837f-9145744e8a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49CC467A6B8040B018BCDDADF27E1B" ma:contentTypeVersion="6" ma:contentTypeDescription="Create a new document." ma:contentTypeScope="" ma:versionID="9830a5b09f83fb4a5175442c19ad72b1">
  <xsd:schema xmlns:xsd="http://www.w3.org/2001/XMLSchema" xmlns:xs="http://www.w3.org/2001/XMLSchema" xmlns:p="http://schemas.microsoft.com/office/2006/metadata/properties" xmlns:ns2="fff7717b-19ca-4d54-837f-9145744e8a6f" targetNamespace="http://schemas.microsoft.com/office/2006/metadata/properties" ma:root="true" ma:fieldsID="b349e655696a945b94b8d650a55b2727" ns2:_="">
    <xsd:import namespace="fff7717b-19ca-4d54-837f-9145744e8a6f"/>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7717b-19ca-4d54-837f-9145744e8a6f"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B0C0C-9E13-43E2-B4A3-C1DF8B480A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ff7717b-19ca-4d54-837f-9145744e8a6f"/>
    <ds:schemaRef ds:uri="http://www.w3.org/XML/1998/namespace"/>
    <ds:schemaRef ds:uri="http://purl.org/dc/dcmitype/"/>
  </ds:schemaRefs>
</ds:datastoreItem>
</file>

<file path=customXml/itemProps3.xml><?xml version="1.0" encoding="utf-8"?>
<ds:datastoreItem xmlns:ds="http://schemas.openxmlformats.org/officeDocument/2006/customXml" ds:itemID="{C764E000-4C06-4852-A76D-FEE41B9A8F2E}">
  <ds:schemaRefs>
    <ds:schemaRef ds:uri="http://schemas.microsoft.com/sharepoint/v3/contenttype/forms"/>
  </ds:schemaRefs>
</ds:datastoreItem>
</file>

<file path=customXml/itemProps4.xml><?xml version="1.0" encoding="utf-8"?>
<ds:datastoreItem xmlns:ds="http://schemas.openxmlformats.org/officeDocument/2006/customXml" ds:itemID="{E80D3595-8B6B-437C-B467-7396AD11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7717b-19ca-4d54-837f-9145744e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897347-8A8A-6446-9128-267AF433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3048</Words>
  <Characters>17375</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Darling</dc:creator>
  <cp:lastModifiedBy>anna robin</cp:lastModifiedBy>
  <cp:revision>2</cp:revision>
  <cp:lastPrinted>2016-10-27T11:28:00Z</cp:lastPrinted>
  <dcterms:created xsi:type="dcterms:W3CDTF">2018-04-16T07:33:00Z</dcterms:created>
  <dcterms:modified xsi:type="dcterms:W3CDTF">2018-04-16T07:33:00Z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0x0101009449CC467A6B8040B018BCDDADF27E1B</vt:lpwstr>
  </property>
</Properties>
</file>